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1C" w:rsidRDefault="00E8361C" w:rsidP="00273A7A">
      <w:pPr>
        <w:jc w:val="center"/>
        <w:rPr>
          <w:b/>
          <w:u w:val="single"/>
        </w:rPr>
      </w:pPr>
      <w:r>
        <w:rPr>
          <w:b/>
          <w:u w:val="single"/>
        </w:rPr>
        <w:t xml:space="preserve">Obstaranie elektromerov s modemom </w:t>
      </w:r>
      <w:r w:rsidRPr="0010531A">
        <w:rPr>
          <w:b/>
          <w:u w:val="single"/>
        </w:rPr>
        <w:t xml:space="preserve"> </w:t>
      </w:r>
      <w:r>
        <w:rPr>
          <w:b/>
          <w:u w:val="single"/>
        </w:rPr>
        <w:t xml:space="preserve">GPRS/EDGE,3G </w:t>
      </w:r>
    </w:p>
    <w:p w:rsidR="00E8361C" w:rsidRDefault="00E8361C">
      <w:pPr>
        <w:pStyle w:val="TOC1"/>
        <w:tabs>
          <w:tab w:val="right" w:leader="dot" w:pos="9062"/>
        </w:tabs>
        <w:rPr>
          <w:b/>
          <w:u w:val="single"/>
        </w:rPr>
      </w:pPr>
    </w:p>
    <w:p w:rsidR="00E8361C" w:rsidRDefault="00E8361C">
      <w:pPr>
        <w:pStyle w:val="TOC1"/>
        <w:tabs>
          <w:tab w:val="right" w:leader="dot" w:pos="9062"/>
        </w:tabs>
        <w:rPr>
          <w:b/>
          <w:u w:val="single"/>
        </w:rPr>
      </w:pPr>
    </w:p>
    <w:p w:rsidR="00E8361C" w:rsidRPr="00305673" w:rsidRDefault="00E8361C">
      <w:pPr>
        <w:pStyle w:val="TOC1"/>
        <w:tabs>
          <w:tab w:val="right" w:leader="dot" w:pos="9062"/>
        </w:tabs>
        <w:rPr>
          <w:b/>
        </w:rPr>
      </w:pPr>
      <w:r w:rsidRPr="00305673">
        <w:rPr>
          <w:b/>
          <w:u w:val="single"/>
        </w:rPr>
        <w:t xml:space="preserve">Obsah dokumentu </w:t>
      </w:r>
      <w:r w:rsidRPr="00305673">
        <w:rPr>
          <w:b/>
        </w:rPr>
        <w:t>:</w:t>
      </w:r>
    </w:p>
    <w:p w:rsidR="00E8361C" w:rsidRDefault="00E8361C">
      <w:pPr>
        <w:pStyle w:val="TOC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1988020" w:history="1">
        <w:r w:rsidRPr="00C02B01">
          <w:rPr>
            <w:rStyle w:val="Hyperlink"/>
            <w:noProof/>
          </w:rPr>
          <w:t>1.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C02B01">
          <w:rPr>
            <w:rStyle w:val="Hyperlink"/>
            <w:noProof/>
          </w:rPr>
          <w:t>Základné identifikačné údaje Obstarávateľa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_Toc401988020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8361C" w:rsidRDefault="00E8361C">
      <w:pPr>
        <w:pStyle w:val="TOC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401988021" w:history="1">
        <w:r w:rsidRPr="00C02B01">
          <w:rPr>
            <w:rStyle w:val="Hyperlink"/>
            <w:noProof/>
          </w:rPr>
          <w:t>2.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C02B01">
          <w:rPr>
            <w:rStyle w:val="Hyperlink"/>
            <w:noProof/>
          </w:rPr>
          <w:t>Predmet obstarávania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_Toc401988021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8361C" w:rsidRDefault="00E8361C">
      <w:pPr>
        <w:pStyle w:val="TOC2"/>
        <w:tabs>
          <w:tab w:val="left" w:pos="9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401988022" w:history="1">
        <w:r w:rsidRPr="00C02B01">
          <w:rPr>
            <w:rStyle w:val="Hyperlink"/>
            <w:noProof/>
          </w:rPr>
          <w:t>2.1.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C02B01">
          <w:rPr>
            <w:rStyle w:val="Hyperlink"/>
            <w:noProof/>
          </w:rPr>
          <w:t>Jednofázový  inteligentný elektromer so základnou funkcionalitou, komunikujúci  modemom   GPRS/EDGE,3G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_Toc401988022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8361C" w:rsidRDefault="00E8361C">
      <w:pPr>
        <w:pStyle w:val="TOC2"/>
        <w:tabs>
          <w:tab w:val="left" w:pos="9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401988023" w:history="1">
        <w:r w:rsidRPr="00C02B01">
          <w:rPr>
            <w:rStyle w:val="Hyperlink"/>
            <w:noProof/>
          </w:rPr>
          <w:t>2.2.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C02B01">
          <w:rPr>
            <w:rStyle w:val="Hyperlink"/>
            <w:noProof/>
          </w:rPr>
          <w:t>Trojfázový  inteligentný elektromer so základnou funkcionalitou, komunikujúci  modemom  GPRS/EDGE,3G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_Toc401988023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8361C" w:rsidRDefault="00E8361C">
      <w:pPr>
        <w:pStyle w:val="TOC2"/>
        <w:tabs>
          <w:tab w:val="left" w:pos="9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401988024" w:history="1">
        <w:r w:rsidRPr="00C02B01">
          <w:rPr>
            <w:rStyle w:val="Hyperlink"/>
            <w:noProof/>
          </w:rPr>
          <w:t>2.3.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C02B01">
          <w:rPr>
            <w:rStyle w:val="Hyperlink"/>
            <w:noProof/>
          </w:rPr>
          <w:t>Trojfázový  inteligentný elektromer s pokročilou funkcionalitou s výmenným komunikačným modulom, obsahujúci   modem  GPRS/EDGE,3G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_Toc401988024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8361C" w:rsidRDefault="00E8361C">
      <w:pPr>
        <w:pStyle w:val="TOC2"/>
        <w:tabs>
          <w:tab w:val="left" w:pos="9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401988025" w:history="1">
        <w:r w:rsidRPr="00C02B01">
          <w:rPr>
            <w:rStyle w:val="Hyperlink"/>
            <w:noProof/>
          </w:rPr>
          <w:t>2.4.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C02B01">
          <w:rPr>
            <w:rStyle w:val="Hyperlink"/>
            <w:noProof/>
          </w:rPr>
          <w:t>Trojfázový  inteligentný elektromer s pokročilou  funkcionalitou pre nepriame meranie  s výmenným komunikačným modulom, obsahujúci   modem  GPRS/EDGE,3G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_Toc401988025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8361C" w:rsidRDefault="00E8361C">
      <w:pPr>
        <w:pStyle w:val="TOC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401988026" w:history="1">
        <w:r w:rsidRPr="00C02B01">
          <w:rPr>
            <w:rStyle w:val="Hyperlink"/>
            <w:noProof/>
          </w:rPr>
          <w:t>3.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C02B01">
          <w:rPr>
            <w:rStyle w:val="Hyperlink"/>
            <w:noProof/>
          </w:rPr>
          <w:t>Ciele obstarávania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_Toc401988026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8361C" w:rsidRDefault="00E8361C">
      <w:pPr>
        <w:pStyle w:val="TOC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401988027" w:history="1">
        <w:r w:rsidRPr="00C02B01">
          <w:rPr>
            <w:rStyle w:val="Hyperlink"/>
            <w:noProof/>
          </w:rPr>
          <w:t>4.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C02B01">
          <w:rPr>
            <w:rStyle w:val="Hyperlink"/>
            <w:noProof/>
          </w:rPr>
          <w:t>Všeobecné požiadavky na komunikáciu elektromerov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_Toc401988027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8361C" w:rsidRDefault="00E8361C">
      <w:pPr>
        <w:pStyle w:val="TOC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401988028" w:history="1">
        <w:r w:rsidRPr="00C02B01">
          <w:rPr>
            <w:rStyle w:val="Hyperlink"/>
            <w:noProof/>
          </w:rPr>
          <w:t>5.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C02B01">
          <w:rPr>
            <w:rStyle w:val="Hyperlink"/>
            <w:noProof/>
          </w:rPr>
          <w:t>Uchádzač pri prihlásení sa do súťaže musí poskytnúť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_Toc401988028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8361C" w:rsidRDefault="00E8361C">
      <w:pPr>
        <w:pStyle w:val="TOC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401988029" w:history="1">
        <w:r w:rsidRPr="00C02B01">
          <w:rPr>
            <w:rStyle w:val="Hyperlink"/>
            <w:noProof/>
          </w:rPr>
          <w:t>6.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C02B01">
          <w:rPr>
            <w:rStyle w:val="Hyperlink"/>
            <w:noProof/>
          </w:rPr>
          <w:t>Postup testovania predmetu obstarávania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_Toc401988029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8361C" w:rsidRDefault="00E8361C" w:rsidP="00273A7A">
      <w:r>
        <w:fldChar w:fldCharType="end"/>
      </w:r>
    </w:p>
    <w:p w:rsidR="00E8361C" w:rsidRPr="0001795D" w:rsidRDefault="00E8361C" w:rsidP="00397680">
      <w:r>
        <w:br w:type="page"/>
        <w:t>Zoznam použitých skratiek</w:t>
      </w:r>
    </w:p>
    <w:p w:rsidR="00E8361C" w:rsidRDefault="00E8361C" w:rsidP="00273A7A">
      <w:pPr>
        <w:spacing w:after="0"/>
        <w:ind w:left="1134" w:hanging="1134"/>
        <w:rPr>
          <w:lang w:val="en-US"/>
        </w:rPr>
      </w:pPr>
    </w:p>
    <w:p w:rsidR="00E8361C" w:rsidRPr="0001795D" w:rsidRDefault="00E8361C" w:rsidP="00273A7A">
      <w:pPr>
        <w:spacing w:after="0"/>
        <w:ind w:left="1134" w:hanging="1134"/>
        <w:rPr>
          <w:lang w:val="en-US"/>
        </w:rPr>
      </w:pPr>
      <w:r w:rsidRPr="0001795D">
        <w:rPr>
          <w:lang w:val="en-US"/>
        </w:rPr>
        <w:t>C</w:t>
      </w:r>
      <w:r>
        <w:rPr>
          <w:lang w:val="en-US"/>
        </w:rPr>
        <w:t>ENELEC</w:t>
      </w:r>
      <w:r w:rsidRPr="0001795D">
        <w:rPr>
          <w:lang w:val="en-US"/>
        </w:rPr>
        <w:tab/>
        <w:t>-</w:t>
      </w:r>
      <w:r w:rsidRPr="0001795D">
        <w:rPr>
          <w:lang w:val="en-US"/>
        </w:rPr>
        <w:tab/>
      </w:r>
      <w:r w:rsidRPr="00EA230F">
        <w:rPr>
          <w:bCs/>
          <w:lang w:val="en-US"/>
        </w:rPr>
        <w:t>European Committee for Electrotechnical Standardization</w:t>
      </w:r>
    </w:p>
    <w:p w:rsidR="00E8361C" w:rsidRPr="0001795D" w:rsidRDefault="00E8361C" w:rsidP="00EA230F">
      <w:pPr>
        <w:spacing w:after="0"/>
        <w:ind w:left="1134" w:hanging="1134"/>
        <w:rPr>
          <w:lang w:val="en-US"/>
        </w:rPr>
      </w:pPr>
      <w:r w:rsidRPr="0001795D">
        <w:rPr>
          <w:lang w:val="en-US"/>
        </w:rPr>
        <w:t>COSEM</w:t>
      </w:r>
      <w:r w:rsidRPr="0001795D">
        <w:rPr>
          <w:lang w:val="en-US"/>
        </w:rPr>
        <w:tab/>
        <w:t>-</w:t>
      </w:r>
      <w:r w:rsidRPr="0001795D">
        <w:rPr>
          <w:lang w:val="en-US"/>
        </w:rPr>
        <w:tab/>
      </w:r>
      <w:r w:rsidRPr="0001795D">
        <w:rPr>
          <w:rFonts w:cs="ArialMT"/>
          <w:lang w:val="en-US"/>
        </w:rPr>
        <w:t>Companion Specification for Energy Metering</w:t>
      </w:r>
    </w:p>
    <w:p w:rsidR="00E8361C" w:rsidRPr="0001795D" w:rsidRDefault="00E8361C" w:rsidP="00273A7A">
      <w:pPr>
        <w:spacing w:after="0"/>
        <w:ind w:left="1134" w:hanging="1134"/>
        <w:rPr>
          <w:rFonts w:cs="ArialMT"/>
          <w:lang w:val="en-US"/>
        </w:rPr>
      </w:pPr>
      <w:r w:rsidRPr="0001795D">
        <w:rPr>
          <w:lang w:val="en-US"/>
        </w:rPr>
        <w:t>DLMS</w:t>
      </w:r>
      <w:r w:rsidRPr="0001795D">
        <w:rPr>
          <w:lang w:val="en-US"/>
        </w:rPr>
        <w:tab/>
        <w:t>-</w:t>
      </w:r>
      <w:r w:rsidRPr="0001795D">
        <w:rPr>
          <w:lang w:val="en-US"/>
        </w:rPr>
        <w:tab/>
      </w:r>
      <w:r w:rsidRPr="0001795D">
        <w:rPr>
          <w:rFonts w:cs="ArialMT"/>
          <w:lang w:val="en-US"/>
        </w:rPr>
        <w:t>Device Language Message Specification</w:t>
      </w:r>
    </w:p>
    <w:p w:rsidR="00E8361C" w:rsidRPr="0001795D" w:rsidRDefault="00E8361C" w:rsidP="00273A7A">
      <w:pPr>
        <w:spacing w:after="0"/>
        <w:ind w:left="1134" w:hanging="1134"/>
        <w:rPr>
          <w:rFonts w:cs="ArialMT"/>
          <w:lang w:val="en-US"/>
        </w:rPr>
      </w:pPr>
      <w:r w:rsidRPr="0001795D">
        <w:rPr>
          <w:lang w:val="en-US"/>
        </w:rPr>
        <w:t>GPRS</w:t>
      </w:r>
      <w:r w:rsidRPr="0001795D">
        <w:rPr>
          <w:lang w:val="en-US"/>
        </w:rPr>
        <w:tab/>
        <w:t>-</w:t>
      </w:r>
      <w:r w:rsidRPr="0001795D">
        <w:rPr>
          <w:rFonts w:cs="ArialMT"/>
          <w:lang w:val="en-US"/>
        </w:rPr>
        <w:tab/>
        <w:t>General Packet Radio Service</w:t>
      </w:r>
    </w:p>
    <w:p w:rsidR="00E8361C" w:rsidRPr="0001795D" w:rsidRDefault="00E8361C" w:rsidP="00273A7A">
      <w:pPr>
        <w:spacing w:after="0"/>
        <w:ind w:left="1134" w:hanging="1134"/>
        <w:rPr>
          <w:rFonts w:cs="ArialMT"/>
          <w:lang w:val="en-US"/>
        </w:rPr>
      </w:pPr>
      <w:r w:rsidRPr="0001795D">
        <w:rPr>
          <w:lang w:val="en-US"/>
        </w:rPr>
        <w:t>GSM</w:t>
      </w:r>
      <w:r w:rsidRPr="0001795D">
        <w:rPr>
          <w:lang w:val="en-US"/>
        </w:rPr>
        <w:tab/>
        <w:t>-</w:t>
      </w:r>
      <w:r w:rsidRPr="0001795D">
        <w:rPr>
          <w:rFonts w:cs="ArialMT"/>
          <w:lang w:val="en-US"/>
        </w:rPr>
        <w:tab/>
        <w:t>Global System for Mobile Communication</w:t>
      </w:r>
    </w:p>
    <w:p w:rsidR="00E8361C" w:rsidRPr="0001795D" w:rsidRDefault="00E8361C" w:rsidP="00C273A7">
      <w:pPr>
        <w:spacing w:after="0"/>
        <w:ind w:left="1134" w:hanging="1134"/>
        <w:rPr>
          <w:lang w:val="en-US"/>
        </w:rPr>
      </w:pPr>
      <w:r>
        <w:rPr>
          <w:lang w:val="en-US"/>
        </w:rPr>
        <w:t>I</w:t>
      </w:r>
      <w:r w:rsidRPr="0001795D">
        <w:rPr>
          <w:lang w:val="en-US"/>
        </w:rPr>
        <w:t>C</w:t>
      </w:r>
      <w:r>
        <w:rPr>
          <w:lang w:val="en-US"/>
        </w:rPr>
        <w:t>T</w:t>
      </w:r>
      <w:r w:rsidRPr="0001795D">
        <w:rPr>
          <w:lang w:val="en-US"/>
        </w:rPr>
        <w:tab/>
        <w:t>-</w:t>
      </w:r>
      <w:r w:rsidRPr="0001795D">
        <w:rPr>
          <w:lang w:val="en-US"/>
        </w:rPr>
        <w:tab/>
      </w:r>
      <w:r>
        <w:rPr>
          <w:lang w:val="en-US"/>
        </w:rPr>
        <w:t xml:space="preserve">Information and </w:t>
      </w:r>
      <w:r w:rsidRPr="0001795D">
        <w:rPr>
          <w:lang w:val="en-US"/>
        </w:rPr>
        <w:t xml:space="preserve"> </w:t>
      </w:r>
      <w:r w:rsidRPr="0001795D">
        <w:rPr>
          <w:rFonts w:cs="ArialMT"/>
          <w:lang w:val="en-US"/>
        </w:rPr>
        <w:t>Communication</w:t>
      </w:r>
      <w:r>
        <w:rPr>
          <w:rFonts w:cs="ArialMT"/>
          <w:lang w:val="en-US"/>
        </w:rPr>
        <w:t xml:space="preserve">s Technology </w:t>
      </w:r>
    </w:p>
    <w:p w:rsidR="00E8361C" w:rsidRPr="0001795D" w:rsidRDefault="00E8361C" w:rsidP="00273A7A">
      <w:pPr>
        <w:spacing w:after="0"/>
        <w:ind w:left="1134" w:hanging="1134"/>
        <w:rPr>
          <w:lang w:val="en-US"/>
        </w:rPr>
      </w:pPr>
      <w:r w:rsidRPr="0001795D">
        <w:rPr>
          <w:lang w:val="en-US"/>
        </w:rPr>
        <w:t>IEC</w:t>
      </w:r>
      <w:r w:rsidRPr="0001795D">
        <w:rPr>
          <w:lang w:val="en-US"/>
        </w:rPr>
        <w:tab/>
        <w:t>-</w:t>
      </w:r>
      <w:r w:rsidRPr="0001795D">
        <w:rPr>
          <w:lang w:val="en-US"/>
        </w:rPr>
        <w:tab/>
        <w:t>International Electrotechnical Commission</w:t>
      </w:r>
    </w:p>
    <w:p w:rsidR="00E8361C" w:rsidRDefault="00E8361C" w:rsidP="00273A7A">
      <w:pPr>
        <w:spacing w:after="0"/>
        <w:ind w:left="1134" w:hanging="1134"/>
      </w:pPr>
      <w:r w:rsidRPr="0001795D">
        <w:t>IMS</w:t>
      </w:r>
      <w:r w:rsidRPr="0001795D">
        <w:tab/>
        <w:t>-</w:t>
      </w:r>
      <w:r w:rsidRPr="0001795D">
        <w:tab/>
        <w:t>Inteligentný merací systém v zmysle Vyhlášky  č. 358 Ministerstva hospodárstva Slovenskej republiky z 28.10.2013</w:t>
      </w:r>
    </w:p>
    <w:p w:rsidR="00E8361C" w:rsidRDefault="00E8361C" w:rsidP="00273A7A">
      <w:pPr>
        <w:spacing w:after="0"/>
        <w:ind w:left="1134" w:hanging="1134"/>
      </w:pPr>
      <w:r>
        <w:t>IPv4</w:t>
      </w:r>
      <w:r>
        <w:tab/>
        <w:t>-</w:t>
      </w:r>
      <w:r>
        <w:tab/>
        <w:t>Internet Protocol, Version 4</w:t>
      </w:r>
    </w:p>
    <w:p w:rsidR="00E8361C" w:rsidRDefault="00E8361C" w:rsidP="00273A7A">
      <w:pPr>
        <w:spacing w:after="0"/>
        <w:ind w:left="1134" w:hanging="1134"/>
        <w:rPr>
          <w:lang w:val="en-US"/>
        </w:rPr>
      </w:pPr>
      <w:r w:rsidRPr="0001795D">
        <w:t>PLC</w:t>
      </w:r>
      <w:r w:rsidRPr="0001795D">
        <w:tab/>
        <w:t>-</w:t>
      </w:r>
      <w:r w:rsidRPr="0001795D">
        <w:tab/>
      </w:r>
      <w:r w:rsidRPr="0001795D">
        <w:rPr>
          <w:lang w:val="en-US"/>
        </w:rPr>
        <w:t>Power Line Communication</w:t>
      </w:r>
    </w:p>
    <w:p w:rsidR="00E8361C" w:rsidRPr="0001795D" w:rsidRDefault="00E8361C" w:rsidP="00273A7A">
      <w:pPr>
        <w:spacing w:after="0"/>
        <w:ind w:left="1134" w:hanging="1134"/>
      </w:pPr>
      <w:r>
        <w:rPr>
          <w:lang w:val="en-US"/>
        </w:rPr>
        <w:t>TCO</w:t>
      </w:r>
      <w:r>
        <w:rPr>
          <w:lang w:val="en-US"/>
        </w:rPr>
        <w:tab/>
        <w:t>-</w:t>
      </w:r>
      <w:r>
        <w:rPr>
          <w:lang w:val="en-US"/>
        </w:rPr>
        <w:tab/>
        <w:t>Total cost of ownership</w:t>
      </w:r>
    </w:p>
    <w:p w:rsidR="00E8361C" w:rsidRPr="0001795D" w:rsidRDefault="00E8361C" w:rsidP="00273A7A">
      <w:pPr>
        <w:spacing w:after="0"/>
        <w:ind w:left="1134" w:hanging="1134"/>
        <w:rPr>
          <w:rFonts w:cs="ArialMT"/>
          <w:lang w:val="en-US"/>
        </w:rPr>
      </w:pPr>
      <w:r w:rsidRPr="0001795D">
        <w:t>TCP</w:t>
      </w:r>
      <w:r w:rsidRPr="0001795D">
        <w:tab/>
        <w:t>-</w:t>
      </w:r>
      <w:r w:rsidRPr="0001795D">
        <w:tab/>
      </w:r>
      <w:r w:rsidRPr="0001795D">
        <w:rPr>
          <w:rFonts w:cs="ArialMT"/>
          <w:lang w:val="en-US"/>
        </w:rPr>
        <w:t>Transmission Control Protocol</w:t>
      </w:r>
    </w:p>
    <w:p w:rsidR="00E8361C" w:rsidRDefault="00E8361C" w:rsidP="00273A7A">
      <w:pPr>
        <w:spacing w:after="0"/>
        <w:ind w:left="1134" w:hanging="1134"/>
        <w:rPr>
          <w:rFonts w:cs="ArialMT"/>
          <w:lang w:val="en-US"/>
        </w:rPr>
      </w:pPr>
      <w:r w:rsidRPr="0001795D">
        <w:t>UDP</w:t>
      </w:r>
      <w:r w:rsidRPr="0001795D">
        <w:tab/>
        <w:t>-</w:t>
      </w:r>
      <w:r w:rsidRPr="0001795D">
        <w:tab/>
      </w:r>
      <w:r w:rsidRPr="0001795D">
        <w:rPr>
          <w:rFonts w:cs="ArialMT"/>
          <w:lang w:val="en-US"/>
        </w:rPr>
        <w:t>User Datagram Protocol</w:t>
      </w:r>
    </w:p>
    <w:p w:rsidR="00E8361C" w:rsidRPr="0001795D" w:rsidRDefault="00E8361C" w:rsidP="00273A7A">
      <w:pPr>
        <w:spacing w:after="0"/>
        <w:ind w:left="1134" w:hanging="1134"/>
      </w:pPr>
      <w:r>
        <w:t>„Vyhláška“</w:t>
      </w:r>
      <w:r>
        <w:tab/>
        <w:t>-</w:t>
      </w:r>
      <w:r>
        <w:tab/>
        <w:t>Aktuálne znenie Vyhlášky</w:t>
      </w:r>
      <w:r w:rsidRPr="0001795D">
        <w:t xml:space="preserve">  č. 358 Ministerstva hospodárstva Slovenskej republiky z 28.10.2013</w:t>
      </w:r>
    </w:p>
    <w:p w:rsidR="00E8361C" w:rsidRDefault="00E8361C">
      <w:pPr>
        <w:rPr>
          <w:rFonts w:ascii="Cambria" w:hAnsi="Cambria"/>
          <w:b/>
          <w:bCs/>
          <w:color w:val="365F91"/>
          <w:sz w:val="28"/>
          <w:szCs w:val="28"/>
        </w:rPr>
      </w:pPr>
      <w:r>
        <w:br w:type="page"/>
      </w:r>
    </w:p>
    <w:p w:rsidR="00E8361C" w:rsidRDefault="00E8361C" w:rsidP="00EA453E">
      <w:pPr>
        <w:pStyle w:val="Heading1"/>
        <w:numPr>
          <w:ilvl w:val="0"/>
          <w:numId w:val="1"/>
        </w:numPr>
      </w:pPr>
      <w:bookmarkStart w:id="0" w:name="_Toc401988020"/>
      <w:r w:rsidRPr="004C4817">
        <w:t xml:space="preserve">Základné identifikačné údaje </w:t>
      </w:r>
      <w:r>
        <w:t>Obstarávateľa</w:t>
      </w:r>
      <w:bookmarkEnd w:id="0"/>
    </w:p>
    <w:p w:rsidR="00E8361C" w:rsidRDefault="00E8361C" w:rsidP="004C4817">
      <w:pPr>
        <w:spacing w:after="0"/>
      </w:pPr>
      <w:r>
        <w:t>Obchodné meno:  Stredoslovenská energetika – Distribúcia, a.s.</w:t>
      </w:r>
    </w:p>
    <w:p w:rsidR="00E8361C" w:rsidRDefault="00E8361C" w:rsidP="004C4817">
      <w:pPr>
        <w:spacing w:after="0"/>
      </w:pPr>
      <w:r>
        <w:t xml:space="preserve">Sídlo: </w:t>
      </w:r>
      <w:r w:rsidRPr="004C4817">
        <w:t xml:space="preserve"> Pri Rajčianke 2927/8</w:t>
      </w:r>
      <w:r>
        <w:t xml:space="preserve">,  </w:t>
      </w:r>
      <w:r w:rsidRPr="004C4817">
        <w:t>010 47 Žilina</w:t>
      </w:r>
    </w:p>
    <w:p w:rsidR="00E8361C" w:rsidRPr="004C4817" w:rsidRDefault="00E8361C" w:rsidP="004C4817">
      <w:pPr>
        <w:spacing w:after="0"/>
      </w:pPr>
      <w:r>
        <w:t xml:space="preserve">IČO: </w:t>
      </w:r>
      <w:r w:rsidRPr="004C4817">
        <w:t>36 442 151</w:t>
      </w:r>
    </w:p>
    <w:p w:rsidR="00E8361C" w:rsidRPr="004C4817" w:rsidRDefault="00E8361C" w:rsidP="004C4817">
      <w:pPr>
        <w:spacing w:after="0"/>
      </w:pPr>
      <w:r>
        <w:t>Bankové spojenie :</w:t>
      </w:r>
      <w:r w:rsidRPr="004C4817">
        <w:t xml:space="preserve"> VÚB, a.s. Žilina, číslo účtu: 2143550551/0200 </w:t>
      </w:r>
    </w:p>
    <w:p w:rsidR="00E8361C" w:rsidRPr="004C4817" w:rsidRDefault="00E8361C" w:rsidP="004C4817">
      <w:pPr>
        <w:spacing w:after="0"/>
      </w:pPr>
      <w:r w:rsidRPr="004C4817">
        <w:t xml:space="preserve">IBAN: SK44 0200 0000 0021 4355 0551 </w:t>
      </w:r>
      <w:r w:rsidRPr="004C4817">
        <w:br/>
        <w:t>BIC: SUBASKBX</w:t>
      </w:r>
    </w:p>
    <w:p w:rsidR="00E8361C" w:rsidRPr="004C4817" w:rsidRDefault="00E8361C" w:rsidP="004C4817">
      <w:pPr>
        <w:spacing w:after="0"/>
      </w:pPr>
      <w:r w:rsidRPr="004C4817">
        <w:t>Akciová spoločnosť je zaregistrovaná v Obchodnom registri Okresného súdu Žilina, oddiel Sa, vložka číslo: 10514/L, deň zápisu 08.04.2006.</w:t>
      </w:r>
    </w:p>
    <w:p w:rsidR="00E8361C" w:rsidRDefault="00E8361C" w:rsidP="004C4817">
      <w:pPr>
        <w:spacing w:after="0"/>
      </w:pPr>
      <w:r w:rsidRPr="004C4817">
        <w:t>Povolenie na distribúciu č. 2007E 0260</w:t>
      </w:r>
    </w:p>
    <w:p w:rsidR="00E8361C" w:rsidRDefault="00E8361C" w:rsidP="008367BD">
      <w:pPr>
        <w:pStyle w:val="Heading1"/>
        <w:numPr>
          <w:ilvl w:val="0"/>
          <w:numId w:val="1"/>
        </w:numPr>
      </w:pPr>
      <w:bookmarkStart w:id="1" w:name="_Toc401988021"/>
      <w:r>
        <w:t>Predmet obstarávania</w:t>
      </w:r>
      <w:bookmarkEnd w:id="1"/>
    </w:p>
    <w:p w:rsidR="00E8361C" w:rsidRPr="00DA21C6" w:rsidRDefault="00E8361C" w:rsidP="00DA21C6">
      <w:r>
        <w:t>Uchádzač, ktorý sa chce zúčastniť tejto súťaže, musí predložiť ponuku na všetky nižšie uvedené komponenty:</w:t>
      </w:r>
    </w:p>
    <w:p w:rsidR="00E8361C" w:rsidRDefault="00E8361C" w:rsidP="00B667FC">
      <w:pPr>
        <w:pStyle w:val="Heading2"/>
        <w:numPr>
          <w:ilvl w:val="1"/>
          <w:numId w:val="1"/>
        </w:numPr>
      </w:pPr>
      <w:r>
        <w:t xml:space="preserve"> </w:t>
      </w:r>
      <w:bookmarkStart w:id="2" w:name="_Toc401988022"/>
      <w:r>
        <w:t>Jednofázový  inteligentný elektromer so základnou funkcionalitou, komunikujúci  modemom   GPRS/EDGE,3G</w:t>
      </w:r>
      <w:bookmarkEnd w:id="2"/>
      <w:r>
        <w:t xml:space="preserve"> </w:t>
      </w:r>
    </w:p>
    <w:p w:rsidR="00E8361C" w:rsidRDefault="00E8361C" w:rsidP="00B667FC">
      <w:r>
        <w:tab/>
        <w:t>Predpokladaný počet  kusov:  4 000</w:t>
      </w:r>
    </w:p>
    <w:p w:rsidR="00E8361C" w:rsidRDefault="00E8361C" w:rsidP="00B667FC"/>
    <w:p w:rsidR="00E8361C" w:rsidRDefault="00E8361C" w:rsidP="003823DB">
      <w:pPr>
        <w:pStyle w:val="Heading2"/>
        <w:numPr>
          <w:ilvl w:val="1"/>
          <w:numId w:val="1"/>
        </w:numPr>
      </w:pPr>
      <w:r>
        <w:t xml:space="preserve"> </w:t>
      </w:r>
      <w:bookmarkStart w:id="3" w:name="_Toc401988023"/>
      <w:r>
        <w:t>Trojfázový  inteligentný elektromer so základnou funkcionalitou, komunikujúci  modemom  GPRS/EDGE,3G</w:t>
      </w:r>
      <w:bookmarkEnd w:id="3"/>
      <w:r>
        <w:t xml:space="preserve"> </w:t>
      </w:r>
    </w:p>
    <w:p w:rsidR="00E8361C" w:rsidRDefault="00E8361C" w:rsidP="00B667FC">
      <w:r>
        <w:tab/>
        <w:t>Predpokladaný počet  kusov: 68 000</w:t>
      </w:r>
    </w:p>
    <w:p w:rsidR="00E8361C" w:rsidRDefault="00E8361C" w:rsidP="00B667FC"/>
    <w:p w:rsidR="00E8361C" w:rsidRDefault="00E8361C" w:rsidP="003823DB">
      <w:pPr>
        <w:pStyle w:val="Heading2"/>
        <w:numPr>
          <w:ilvl w:val="1"/>
          <w:numId w:val="1"/>
        </w:numPr>
      </w:pPr>
      <w:r>
        <w:t xml:space="preserve"> </w:t>
      </w:r>
      <w:bookmarkStart w:id="4" w:name="_Toc401988024"/>
      <w:r>
        <w:t>Trojfázový  inteligentný elektromer s pokročilou funkcionalitou s výmenným komunikačným modulom, obsahujúci   modem  GPRS/EDGE,3G</w:t>
      </w:r>
      <w:bookmarkEnd w:id="4"/>
      <w:r>
        <w:t xml:space="preserve"> </w:t>
      </w:r>
    </w:p>
    <w:p w:rsidR="00E8361C" w:rsidRDefault="00E8361C" w:rsidP="00B667FC">
      <w:r>
        <w:tab/>
        <w:t>Predpokladaný počet  kusov: 14 400</w:t>
      </w:r>
    </w:p>
    <w:p w:rsidR="00E8361C" w:rsidRDefault="00E8361C" w:rsidP="00B667FC"/>
    <w:p w:rsidR="00E8361C" w:rsidRDefault="00E8361C" w:rsidP="003823DB">
      <w:pPr>
        <w:pStyle w:val="Heading2"/>
        <w:numPr>
          <w:ilvl w:val="1"/>
          <w:numId w:val="1"/>
        </w:numPr>
      </w:pPr>
      <w:r>
        <w:t xml:space="preserve"> </w:t>
      </w:r>
      <w:bookmarkStart w:id="5" w:name="_Toc401988025"/>
      <w:r>
        <w:t>Trojfázový  inteligentný elektromer s pokročilou  funkcionalitou pre nepriame meranie  s výmenným komunikačným modulom, obsahujúci   modem  GPRS/EDGE,3G</w:t>
      </w:r>
      <w:bookmarkEnd w:id="5"/>
      <w:r>
        <w:t xml:space="preserve"> </w:t>
      </w:r>
    </w:p>
    <w:p w:rsidR="00E8361C" w:rsidRDefault="00E8361C" w:rsidP="00B667FC">
      <w:r>
        <w:tab/>
        <w:t>Predpokladaný počet  kusov: 2 200</w:t>
      </w:r>
    </w:p>
    <w:p w:rsidR="00E8361C" w:rsidRDefault="00E8361C" w:rsidP="00B667FC"/>
    <w:p w:rsidR="00E8361C" w:rsidRDefault="00E8361C">
      <w:pPr>
        <w:rPr>
          <w:b/>
        </w:rPr>
      </w:pPr>
      <w:r>
        <w:rPr>
          <w:b/>
        </w:rPr>
        <w:br w:type="page"/>
      </w:r>
    </w:p>
    <w:p w:rsidR="00E8361C" w:rsidRDefault="00E8361C" w:rsidP="00B667FC">
      <w:pPr>
        <w:rPr>
          <w:b/>
        </w:rPr>
      </w:pPr>
      <w:r>
        <w:rPr>
          <w:b/>
        </w:rPr>
        <w:t>Dôležité upozornenia</w:t>
      </w:r>
      <w:r w:rsidRPr="000761F8">
        <w:rPr>
          <w:b/>
        </w:rPr>
        <w:t>:</w:t>
      </w:r>
    </w:p>
    <w:p w:rsidR="00E8361C" w:rsidRDefault="00E8361C" w:rsidP="00954A85">
      <w:r>
        <w:t>Všeobecné technické požiadavky na všetky vyššie uvedené elektromery sú uvedené v samostatnom dokumente „Technická špecifikácia pre elektromer IMS“ a tieto požiadavky sa vzťahujú aj na modem GPRS/EDGE,3G.</w:t>
      </w:r>
    </w:p>
    <w:p w:rsidR="00E8361C" w:rsidRDefault="00E8361C" w:rsidP="00B55B63">
      <w:pPr>
        <w:spacing w:after="0"/>
      </w:pPr>
      <w:r>
        <w:t>Ku každému elektromeru s modemom  GPRS/EDGE,3G musí byť dodaná  1 anténa vo vyhotovení pre vonkajšie prostredie, so ziskom minimálne 3dBi,  dĺžkou prívodu minimálne 2 m a jednou priechodkou pre tento prívod.</w:t>
      </w:r>
    </w:p>
    <w:p w:rsidR="00E8361C" w:rsidRDefault="00E8361C" w:rsidP="00B55B63">
      <w:pPr>
        <w:spacing w:after="0"/>
      </w:pPr>
      <w:r>
        <w:t xml:space="preserve"> </w:t>
      </w:r>
    </w:p>
    <w:p w:rsidR="00E8361C" w:rsidRDefault="00E8361C" w:rsidP="00B55B63">
      <w:pPr>
        <w:spacing w:after="0"/>
      </w:pPr>
      <w:r>
        <w:t>Súčasťou dodávky musí byť aj programové vybavenie na PC, minimálne pre 10 pracovníkov skupiny SSE, umožňujúce diaľkové nezávislé stiahnutie uložených dát z elektromerov  a ich konverziu do štruktúrovaného textového súboru.</w:t>
      </w:r>
    </w:p>
    <w:p w:rsidR="00E8361C" w:rsidRDefault="00E8361C" w:rsidP="00B55B63">
      <w:pPr>
        <w:spacing w:after="0"/>
      </w:pPr>
    </w:p>
    <w:p w:rsidR="00E8361C" w:rsidRDefault="00E8361C" w:rsidP="00366082">
      <w:r>
        <w:t>Obstarávateľ požaduje  5 ročnú záruku na všetky dodané komponenty. V prípade, že v období záruky, množstvo porúch nejakého komponentu prekročí  5%, obstarávateľ bude účtovať dopravné náklady na výmenu  tohto komponentu zo sídla Obstarávateľa na miesto inštalácie a späť v zmysle aktuálneho „</w:t>
      </w:r>
      <w:r w:rsidRPr="00366082">
        <w:rPr>
          <w:b/>
          <w:bCs/>
        </w:rPr>
        <w:t>Cenník</w:t>
      </w:r>
      <w:r>
        <w:rPr>
          <w:b/>
          <w:bCs/>
        </w:rPr>
        <w:t>a</w:t>
      </w:r>
      <w:r w:rsidRPr="00366082">
        <w:rPr>
          <w:b/>
          <w:bCs/>
        </w:rPr>
        <w:t xml:space="preserve"> služieb Stredoslovenská energetika - Distribúcia, a.s.</w:t>
      </w:r>
      <w:r>
        <w:rPr>
          <w:b/>
          <w:bCs/>
        </w:rPr>
        <w:t xml:space="preserve"> </w:t>
      </w:r>
      <w:r w:rsidRPr="00366082">
        <w:rPr>
          <w:b/>
          <w:bCs/>
        </w:rPr>
        <w:t>Fakturačné meranie a Kontrola odberných miest</w:t>
      </w:r>
      <w:r>
        <w:rPr>
          <w:b/>
          <w:bCs/>
        </w:rPr>
        <w:t xml:space="preserve">“ </w:t>
      </w:r>
      <w:r>
        <w:rPr>
          <w:bCs/>
        </w:rPr>
        <w:t xml:space="preserve">položka </w:t>
      </w:r>
      <w:r w:rsidRPr="00366082">
        <w:rPr>
          <w:b/>
          <w:bCs/>
          <w:i/>
          <w:iCs/>
        </w:rPr>
        <w:t>Autodoprava osobná - cena za 1 km</w:t>
      </w:r>
      <w:r>
        <w:t>. V prípade, že v období životnosti od 5 do 12 rokov, množstvo porúch nejakého komponentu prekročí  5%, obstarávateľ bude požadovať bezodplatnú  výmenu takéhoto komponentu  a bude účtovať dopravné náklady na výmenu  tohto komponentu zo sídla Obstarávateľa na miesto inštalácie a späť v zmysle aktuálneho „</w:t>
      </w:r>
      <w:r w:rsidRPr="00366082">
        <w:rPr>
          <w:b/>
          <w:bCs/>
        </w:rPr>
        <w:t>Cenník</w:t>
      </w:r>
      <w:r>
        <w:rPr>
          <w:b/>
          <w:bCs/>
        </w:rPr>
        <w:t>a</w:t>
      </w:r>
      <w:r w:rsidRPr="00366082">
        <w:rPr>
          <w:b/>
          <w:bCs/>
        </w:rPr>
        <w:t xml:space="preserve"> služieb Stredoslovenská energetika - Distribúcia, a.s.</w:t>
      </w:r>
      <w:r>
        <w:rPr>
          <w:b/>
          <w:bCs/>
        </w:rPr>
        <w:t xml:space="preserve"> </w:t>
      </w:r>
      <w:r w:rsidRPr="00366082">
        <w:rPr>
          <w:b/>
          <w:bCs/>
        </w:rPr>
        <w:t>Fakturačné meranie a Kontrola odberných miest</w:t>
      </w:r>
      <w:r>
        <w:rPr>
          <w:b/>
          <w:bCs/>
        </w:rPr>
        <w:t xml:space="preserve">“ </w:t>
      </w:r>
      <w:r>
        <w:rPr>
          <w:bCs/>
        </w:rPr>
        <w:t xml:space="preserve">položka </w:t>
      </w:r>
      <w:r w:rsidRPr="00366082">
        <w:rPr>
          <w:b/>
          <w:bCs/>
          <w:i/>
          <w:iCs/>
        </w:rPr>
        <w:t>Autodoprava osobná - cena za 1 km</w:t>
      </w:r>
      <w:r>
        <w:t>.</w:t>
      </w:r>
    </w:p>
    <w:p w:rsidR="00E8361C" w:rsidRDefault="00E8361C" w:rsidP="00366082">
      <w:r>
        <w:t>Miestom dodávky predmetu obstarávania  a výmeny  komponentov pre záručné a pozáručné opravy je sídlo Obstarávateľa.</w:t>
      </w:r>
    </w:p>
    <w:p w:rsidR="00E8361C" w:rsidRDefault="00E8361C" w:rsidP="00B667FC">
      <w:r>
        <w:t xml:space="preserve"> </w:t>
      </w:r>
    </w:p>
    <w:p w:rsidR="00E8361C" w:rsidRDefault="00E8361C" w:rsidP="003823DB">
      <w:pPr>
        <w:pStyle w:val="Heading1"/>
        <w:numPr>
          <w:ilvl w:val="0"/>
          <w:numId w:val="1"/>
        </w:numPr>
      </w:pPr>
      <w:bookmarkStart w:id="6" w:name="_Toc401988026"/>
      <w:r>
        <w:t>Ciele obstarávania</w:t>
      </w:r>
      <w:bookmarkEnd w:id="6"/>
    </w:p>
    <w:p w:rsidR="00E8361C" w:rsidRPr="00EA453E" w:rsidRDefault="00E8361C" w:rsidP="00EA453E">
      <w:pPr>
        <w:spacing w:after="0"/>
      </w:pPr>
    </w:p>
    <w:p w:rsidR="00E8361C" w:rsidRDefault="00E8361C" w:rsidP="0001795D">
      <w:r>
        <w:t>Hlavným cieľom  Obstarávateľa  je  minimalizovať  všetky náklady vlastníctva (TCO)   predmetu obstarávania  tak, aby bola  v plnom rozsahu zabezpečená  požadovaná  funkčnosť  týchto komponentov , pri dodržaní  vysokej  spoľahlivosti  a stability ich prevádzky.</w:t>
      </w:r>
    </w:p>
    <w:p w:rsidR="00E8361C" w:rsidRDefault="00E8361C" w:rsidP="0001795D">
      <w:r>
        <w:t>V neposlednom rade  cieľom obstarávania je  z dlhodobého hľadiska  garantovať minimálne potrebné množstvo  dodávateľov a  vzájomnú kompatibilitu  ich dodávok tak, aby pri „výpadku“ niektorého z nich neboli ohrozené vynaložené investície Obstarávateľa.</w:t>
      </w:r>
    </w:p>
    <w:p w:rsidR="00E8361C" w:rsidRDefault="00E8361C" w:rsidP="003823DB">
      <w:pPr>
        <w:pStyle w:val="Heading1"/>
        <w:numPr>
          <w:ilvl w:val="0"/>
          <w:numId w:val="1"/>
        </w:numPr>
      </w:pPr>
      <w:bookmarkStart w:id="7" w:name="_Toc401988027"/>
      <w:r>
        <w:t>Všeobecné požiadavky na komunikáciu elektromerov</w:t>
      </w:r>
      <w:bookmarkEnd w:id="7"/>
    </w:p>
    <w:p w:rsidR="00E8361C" w:rsidRDefault="00E8361C" w:rsidP="005E1578">
      <w:pPr>
        <w:pStyle w:val="ListParagraph"/>
      </w:pPr>
    </w:p>
    <w:p w:rsidR="00E8361C" w:rsidRDefault="00E8361C" w:rsidP="008E3214">
      <w:pPr>
        <w:pStyle w:val="ListParagraph"/>
        <w:numPr>
          <w:ilvl w:val="0"/>
          <w:numId w:val="10"/>
        </w:numPr>
        <w:spacing w:after="0"/>
      </w:pPr>
      <w:r>
        <w:t>Konštrukcia všetkých častí zariadenia, vrátane batérií (ak sú použité), musí zaručovať  životnosť minimálne 15 rokov a musí vyhovovať požiadavkám, ktoré stanovuje  „Vyhláška“</w:t>
      </w:r>
    </w:p>
    <w:p w:rsidR="00E8361C" w:rsidRPr="008E3214" w:rsidRDefault="00E8361C" w:rsidP="008E3214">
      <w:pPr>
        <w:pStyle w:val="ListParagraph"/>
        <w:numPr>
          <w:ilvl w:val="0"/>
          <w:numId w:val="10"/>
        </w:numPr>
        <w:spacing w:after="0"/>
      </w:pPr>
      <w:r>
        <w:t xml:space="preserve">Konštrukcia modemu musí akceptovať SIM karty slovenských operátorov GSM </w:t>
      </w:r>
      <w:r w:rsidRPr="008E3214">
        <w:t>so zvýšenou odolnosťou  (pr</w:t>
      </w:r>
      <w:r>
        <w:t>iemyselné určenie), multisieťové, s podporou 2G/3G</w:t>
      </w:r>
      <w:r w:rsidRPr="008E3214">
        <w:t xml:space="preserve">, (pracovná teplota  od -35 do 85 °C) , uchovávanie parametrov na karte minimálne 10 rokov pri  tepelnej záťaži 85 °C  </w:t>
      </w:r>
    </w:p>
    <w:p w:rsidR="00E8361C" w:rsidRPr="00FC6E11" w:rsidRDefault="00E8361C" w:rsidP="0010531A">
      <w:pPr>
        <w:pStyle w:val="ListParagraph"/>
        <w:numPr>
          <w:ilvl w:val="0"/>
          <w:numId w:val="10"/>
        </w:numPr>
        <w:spacing w:after="0"/>
      </w:pPr>
      <w:r w:rsidRPr="00244DE0">
        <w:rPr>
          <w:lang w:val="en-US"/>
        </w:rPr>
        <w:t>Firmware</w:t>
      </w:r>
      <w:r>
        <w:t xml:space="preserve"> elektromera  prostredníctvom modemu (minimálne pre GPRS/EDGE,3G ) musí  umožniť  minimálne dvom nezávislým Centrálam  komunikovať    paketovou sieťou  na báze protokolu  IPv4  v zmysle štandardov  IEC 62056-5-3, IEC 62056-6-1, IEC 62056-6-2, IEC 62056-9-7, IEC 62056-47, rešpektujúcich  univerzálny komunikačný model  DLMS/COSEM </w:t>
      </w:r>
    </w:p>
    <w:p w:rsidR="00E8361C" w:rsidRDefault="00E8361C" w:rsidP="006502A1">
      <w:pPr>
        <w:pStyle w:val="ListParagraph"/>
        <w:numPr>
          <w:ilvl w:val="0"/>
          <w:numId w:val="10"/>
        </w:numPr>
      </w:pPr>
      <w:r w:rsidRPr="00244DE0">
        <w:rPr>
          <w:lang w:val="en-US"/>
        </w:rPr>
        <w:t>Firmware</w:t>
      </w:r>
      <w:r>
        <w:t xml:space="preserve"> elektromera  musí garantovať  trvalú konektivitu (</w:t>
      </w:r>
      <w:r w:rsidRPr="001B08D9">
        <w:rPr>
          <w:lang w:val="en-US"/>
        </w:rPr>
        <w:t>Packet Data Protocol Context</w:t>
      </w:r>
      <w:r>
        <w:t>) do paketovej siete GSM operátora  a musí byť schopný, v prípade potreby, sa prepnúť zo siete GPRS/EDGE do siete 3G a naopak zo siete  3G do GPRS/EDGE.</w:t>
      </w:r>
    </w:p>
    <w:p w:rsidR="00E8361C" w:rsidRDefault="00E8361C" w:rsidP="006502A1">
      <w:pPr>
        <w:pStyle w:val="ListParagraph"/>
        <w:numPr>
          <w:ilvl w:val="0"/>
          <w:numId w:val="10"/>
        </w:numPr>
      </w:pPr>
      <w:r w:rsidRPr="00244DE0">
        <w:rPr>
          <w:lang w:val="en-US"/>
        </w:rPr>
        <w:t>Firmware</w:t>
      </w:r>
      <w:r>
        <w:t xml:space="preserve"> elektromera musí mať schopnosť minimálne raz denne vykonať komplexný reštart modemu GPRS/EDGE, 3G ) vrátane procedúr odpojenia a obnovenia pripojenia do paketovej siete GSM operátora.</w:t>
      </w:r>
    </w:p>
    <w:p w:rsidR="00E8361C" w:rsidRDefault="00E8361C" w:rsidP="006502A1">
      <w:pPr>
        <w:pStyle w:val="ListParagraph"/>
        <w:numPr>
          <w:ilvl w:val="0"/>
          <w:numId w:val="10"/>
        </w:numPr>
      </w:pPr>
      <w:r>
        <w:t>Výpadok napájania nesmie zmeniť konfiguračné údaje elektromera a po obnovení napájania zariadenie musí obnoviť konektivitu (</w:t>
      </w:r>
      <w:r w:rsidRPr="001B08D9">
        <w:rPr>
          <w:lang w:val="en-US"/>
        </w:rPr>
        <w:t>Packet Data Protocol Context</w:t>
      </w:r>
      <w:r>
        <w:t>) do paketovej siete GSM operátora GPRS/EDGE resp. 3G.</w:t>
      </w:r>
    </w:p>
    <w:p w:rsidR="00E8361C" w:rsidRDefault="00E8361C" w:rsidP="00FD0301">
      <w:pPr>
        <w:pStyle w:val="ListParagraph"/>
        <w:numPr>
          <w:ilvl w:val="0"/>
          <w:numId w:val="10"/>
        </w:numPr>
      </w:pPr>
      <w:r>
        <w:t>Minimálna množina požadovaných prenášaných informácií je uvedená v samostatnej tabuľke „Objekty spracovávané elektromerom IMS“.</w:t>
      </w:r>
    </w:p>
    <w:p w:rsidR="00E8361C" w:rsidRDefault="00E8361C" w:rsidP="003823DB">
      <w:pPr>
        <w:pStyle w:val="Heading1"/>
        <w:numPr>
          <w:ilvl w:val="0"/>
          <w:numId w:val="1"/>
        </w:numPr>
      </w:pPr>
      <w:bookmarkStart w:id="8" w:name="_Toc401988028"/>
      <w:r>
        <w:t>Uchádzač pri prihlásení sa do súťaže musí poskytnúť :</w:t>
      </w:r>
      <w:bookmarkEnd w:id="8"/>
    </w:p>
    <w:p w:rsidR="00E8361C" w:rsidRDefault="00E8361C" w:rsidP="00874AB4"/>
    <w:p w:rsidR="00E8361C" w:rsidRDefault="00E8361C" w:rsidP="00874AB4">
      <w:pPr>
        <w:pStyle w:val="ListParagraph"/>
        <w:numPr>
          <w:ilvl w:val="0"/>
          <w:numId w:val="9"/>
        </w:numPr>
        <w:spacing w:after="0"/>
      </w:pPr>
      <w:r>
        <w:t xml:space="preserve">Kompletnú dokumentáciu komunikačného protokolu, použitého na komunikáciu medzi elektromerom a Head-End  systémom </w:t>
      </w:r>
    </w:p>
    <w:p w:rsidR="00E8361C" w:rsidRDefault="00E8361C" w:rsidP="00874AB4">
      <w:pPr>
        <w:pStyle w:val="ListParagraph"/>
        <w:numPr>
          <w:ilvl w:val="0"/>
          <w:numId w:val="9"/>
        </w:numPr>
        <w:spacing w:after="0"/>
      </w:pPr>
      <w:r>
        <w:t xml:space="preserve">Vzorku 2 ks  elektromerov pre každý predmet obstarávania, definovaný v 2.1. až 2.4. tohto dokumentu nakonfigurovaných tak, aby boli schopné prenášať informácie  uvedené </w:t>
      </w:r>
      <w:bookmarkStart w:id="9" w:name="_GoBack"/>
      <w:bookmarkEnd w:id="9"/>
      <w:r>
        <w:t>v  tabuľke „Objekty spracovávané elektromerom IMS“</w:t>
      </w:r>
    </w:p>
    <w:p w:rsidR="00E8361C" w:rsidRDefault="00E8361C" w:rsidP="00874AB4">
      <w:pPr>
        <w:pStyle w:val="ListParagraph"/>
        <w:numPr>
          <w:ilvl w:val="0"/>
          <w:numId w:val="9"/>
        </w:numPr>
        <w:spacing w:after="0"/>
      </w:pPr>
      <w:r>
        <w:t>Konfiguračné programové vybavenie na PC pre 10 pracovníkov skupiny SSE, umožňujúce, okrem iného, aj diaľkové nezávislé stiahnutie uložených dát z elektromerov a ich konverziu do štruktúrovaného textového súboru</w:t>
      </w:r>
    </w:p>
    <w:p w:rsidR="00E8361C" w:rsidRDefault="00E8361C" w:rsidP="00874AB4">
      <w:pPr>
        <w:pStyle w:val="ListParagraph"/>
        <w:numPr>
          <w:ilvl w:val="0"/>
          <w:numId w:val="9"/>
        </w:numPr>
        <w:spacing w:after="0"/>
      </w:pPr>
      <w:r>
        <w:t>Zoznam a popis programového vybavenia, ktoré umožní  realizovať  akceptačné testy v zmysle dokumentu „</w:t>
      </w:r>
      <w:r w:rsidRPr="0014002E">
        <w:rPr>
          <w:b/>
        </w:rPr>
        <w:t>Postupy pre akceptačné   testy  elektromerov  IMS</w:t>
      </w:r>
      <w:r>
        <w:rPr>
          <w:b/>
        </w:rPr>
        <w:t xml:space="preserve"> s modemom 3G/EDGE/GPRS</w:t>
      </w:r>
      <w:r>
        <w:t>“</w:t>
      </w:r>
    </w:p>
    <w:p w:rsidR="00E8361C" w:rsidRPr="00874AB4" w:rsidRDefault="00E8361C" w:rsidP="00874AB4"/>
    <w:p w:rsidR="00E8361C" w:rsidRDefault="00E8361C" w:rsidP="003823DB">
      <w:pPr>
        <w:pStyle w:val="Heading1"/>
        <w:numPr>
          <w:ilvl w:val="0"/>
          <w:numId w:val="1"/>
        </w:numPr>
      </w:pPr>
      <w:bookmarkStart w:id="10" w:name="_Toc401988029"/>
      <w:r>
        <w:t>Postup testovania predmetu obstarávania</w:t>
      </w:r>
      <w:bookmarkEnd w:id="10"/>
    </w:p>
    <w:p w:rsidR="00E8361C" w:rsidRDefault="00E8361C" w:rsidP="00EC0F74">
      <w:pPr>
        <w:pStyle w:val="ListParagraph"/>
      </w:pPr>
    </w:p>
    <w:p w:rsidR="00E8361C" w:rsidRDefault="00E8361C" w:rsidP="000164E5">
      <w:pPr>
        <w:pStyle w:val="ListParagraph"/>
        <w:numPr>
          <w:ilvl w:val="0"/>
          <w:numId w:val="26"/>
        </w:numPr>
      </w:pPr>
      <w:r>
        <w:t>Uchádzači predložia zariadenia, programové vybavenie a dokumentáciu definovanú v bode 5. tohto dokumentu</w:t>
      </w:r>
    </w:p>
    <w:p w:rsidR="00E8361C" w:rsidRDefault="00E8361C" w:rsidP="006351A4">
      <w:pPr>
        <w:pStyle w:val="ListParagraph"/>
        <w:numPr>
          <w:ilvl w:val="0"/>
          <w:numId w:val="26"/>
        </w:numPr>
      </w:pPr>
      <w:r>
        <w:t>Obstarávateľ  formálne prekontroluje úplnosť ponuky</w:t>
      </w:r>
    </w:p>
    <w:p w:rsidR="00E8361C" w:rsidRDefault="00E8361C" w:rsidP="00684C62">
      <w:pPr>
        <w:pStyle w:val="ListParagraph"/>
        <w:numPr>
          <w:ilvl w:val="0"/>
          <w:numId w:val="26"/>
        </w:numPr>
      </w:pPr>
      <w:r>
        <w:t xml:space="preserve">Vzorky elektromerov budú podrobené  overeniu presnosti   v skúšobni  SSE – Metrológia, s.r.o. V prípade, že vzorky nevyhovejú požadovanej presnosti, ich Dodávateľ bude zo súťaže vylúčený. </w:t>
      </w:r>
    </w:p>
    <w:p w:rsidR="00E8361C" w:rsidRDefault="00E8361C" w:rsidP="00684C62">
      <w:pPr>
        <w:pStyle w:val="ListParagraph"/>
        <w:numPr>
          <w:ilvl w:val="0"/>
          <w:numId w:val="26"/>
        </w:numPr>
      </w:pPr>
      <w:r>
        <w:t>Pomocou elektronickej aukcie Obstarávateľ zostaví poradie uchádzačov  a s prvými  troma   uzavrie „Rámcovú dohodu“ v rámci ktorej budú vykonané akceptačné testy v zmysle dokumentu „</w:t>
      </w:r>
      <w:r w:rsidRPr="0014002E">
        <w:rPr>
          <w:b/>
        </w:rPr>
        <w:t>Postupy pre akceptačné   testy  elektromerov  IMS</w:t>
      </w:r>
      <w:r>
        <w:rPr>
          <w:b/>
        </w:rPr>
        <w:t xml:space="preserve"> s modemom 3G/EDGE/GPRS</w:t>
      </w:r>
      <w:r>
        <w:t>“</w:t>
      </w:r>
    </w:p>
    <w:p w:rsidR="00E8361C" w:rsidRDefault="00E8361C" w:rsidP="00684C62">
      <w:pPr>
        <w:pStyle w:val="ListParagraph"/>
        <w:ind w:left="1440"/>
      </w:pPr>
      <w:r>
        <w:t xml:space="preserve"> </w:t>
      </w:r>
    </w:p>
    <w:p w:rsidR="00E8361C" w:rsidRDefault="00E8361C" w:rsidP="000B1218">
      <w:pPr>
        <w:ind w:left="720"/>
      </w:pPr>
    </w:p>
    <w:p w:rsidR="00E8361C" w:rsidRDefault="00E8361C" w:rsidP="00FC6E11">
      <w:pPr>
        <w:pStyle w:val="ListParagraph"/>
        <w:jc w:val="right"/>
      </w:pPr>
      <w:r>
        <w:object w:dxaOrig="12594" w:dyaOrig="10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374.25pt" o:ole="">
            <v:imagedata r:id="rId7" o:title=""/>
          </v:shape>
          <o:OLEObject Type="Embed" ProgID="Visio.Drawing.11" ShapeID="_x0000_i1025" DrawAspect="Content" ObjectID="_1475730008" r:id="rId8"/>
        </w:object>
      </w:r>
      <w:r>
        <w:t xml:space="preserve"> </w:t>
      </w:r>
    </w:p>
    <w:p w:rsidR="00E8361C" w:rsidRPr="00273A7A" w:rsidRDefault="00E8361C" w:rsidP="00FC6E11">
      <w:pPr>
        <w:pStyle w:val="ListParagraph"/>
        <w:jc w:val="right"/>
      </w:pPr>
      <w:r>
        <w:t>Obr. č.1.:Priebeh  akceptačných testov</w:t>
      </w:r>
    </w:p>
    <w:sectPr w:rsidR="00E8361C" w:rsidRPr="00273A7A" w:rsidSect="003158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1C" w:rsidRDefault="00E8361C" w:rsidP="005C7502">
      <w:pPr>
        <w:spacing w:after="0" w:line="240" w:lineRule="auto"/>
      </w:pPr>
      <w:r>
        <w:separator/>
      </w:r>
    </w:p>
  </w:endnote>
  <w:endnote w:type="continuationSeparator" w:id="0">
    <w:p w:rsidR="00E8361C" w:rsidRDefault="00E8361C" w:rsidP="005C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1C" w:rsidRDefault="00E836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1C" w:rsidRDefault="00E8361C" w:rsidP="00F44812">
    <w:pPr>
      <w:pStyle w:val="Footer"/>
      <w:ind w:left="720"/>
      <w:jc w:val="center"/>
    </w:pPr>
    <w: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  <w:r>
      <w:t xml:space="preserve"> / </w:t>
    </w:r>
    <w:fldSimple w:instr="NUMPAGES  \* Arabic  \* MERGEFORMAT">
      <w:r>
        <w:rPr>
          <w:b/>
          <w:noProof/>
        </w:rPr>
        <w:t>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1C" w:rsidRDefault="00E83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1C" w:rsidRDefault="00E8361C" w:rsidP="005C7502">
      <w:pPr>
        <w:spacing w:after="0" w:line="240" w:lineRule="auto"/>
      </w:pPr>
      <w:r>
        <w:separator/>
      </w:r>
    </w:p>
  </w:footnote>
  <w:footnote w:type="continuationSeparator" w:id="0">
    <w:p w:rsidR="00E8361C" w:rsidRDefault="00E8361C" w:rsidP="005C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1C" w:rsidRDefault="00E836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1C" w:rsidRDefault="00E8361C" w:rsidP="00F44812">
    <w:pPr>
      <w:jc w:val="right"/>
    </w:pPr>
    <w:r>
      <w:t>V Žiline dňa 24.10.2014 spracoval : Ing. Milan Valjašek</w:t>
    </w:r>
  </w:p>
  <w:p w:rsidR="00E8361C" w:rsidRDefault="00E836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1C" w:rsidRDefault="00E836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C4F"/>
    <w:multiLevelType w:val="hybridMultilevel"/>
    <w:tmpl w:val="6DFCC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3EA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7234212"/>
    <w:multiLevelType w:val="hybridMultilevel"/>
    <w:tmpl w:val="A920C1A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E0802"/>
    <w:multiLevelType w:val="hybridMultilevel"/>
    <w:tmpl w:val="1A627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F1EBD"/>
    <w:multiLevelType w:val="hybridMultilevel"/>
    <w:tmpl w:val="E36C6A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AE5686"/>
    <w:multiLevelType w:val="hybridMultilevel"/>
    <w:tmpl w:val="55CE2C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477046"/>
    <w:multiLevelType w:val="hybridMultilevel"/>
    <w:tmpl w:val="02A8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972B3"/>
    <w:multiLevelType w:val="hybridMultilevel"/>
    <w:tmpl w:val="8B9ECA58"/>
    <w:lvl w:ilvl="0" w:tplc="2FFA16E2">
      <w:start w:val="1"/>
      <w:numFmt w:val="bullet"/>
      <w:lvlText w:val=""/>
      <w:lvlJc w:val="left"/>
      <w:pPr>
        <w:tabs>
          <w:tab w:val="num" w:pos="1419"/>
        </w:tabs>
        <w:ind w:left="1419" w:hanging="284"/>
      </w:pPr>
      <w:rPr>
        <w:rFonts w:ascii="Symbol" w:hAnsi="Symbol" w:hint="default"/>
      </w:rPr>
    </w:lvl>
    <w:lvl w:ilvl="1" w:tplc="B3288CCA">
      <w:start w:val="1"/>
      <w:numFmt w:val="bullet"/>
      <w:pStyle w:val="Formatvorlage3"/>
      <w:lvlText w:val=""/>
      <w:lvlJc w:val="left"/>
      <w:pPr>
        <w:tabs>
          <w:tab w:val="num" w:pos="2575"/>
        </w:tabs>
        <w:ind w:left="2555" w:hanging="34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">
    <w:nsid w:val="27AB1005"/>
    <w:multiLevelType w:val="hybridMultilevel"/>
    <w:tmpl w:val="7B8653EA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9C7667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0102023"/>
    <w:multiLevelType w:val="hybridMultilevel"/>
    <w:tmpl w:val="55CE2C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05486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2E378D1"/>
    <w:multiLevelType w:val="hybridMultilevel"/>
    <w:tmpl w:val="C678A0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A05BF1"/>
    <w:multiLevelType w:val="hybridMultilevel"/>
    <w:tmpl w:val="0C94FD0E"/>
    <w:lvl w:ilvl="0" w:tplc="4DB0AFF2">
      <w:start w:val="1"/>
      <w:numFmt w:val="decimal"/>
      <w:pStyle w:val="Heading2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C9028C7"/>
    <w:multiLevelType w:val="hybridMultilevel"/>
    <w:tmpl w:val="9FFCF6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4903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B9F5F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FFB091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89C33C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FB57AE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FE80A8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4154450"/>
    <w:multiLevelType w:val="hybridMultilevel"/>
    <w:tmpl w:val="DB389A10"/>
    <w:lvl w:ilvl="0" w:tplc="6422E85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75F6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CD714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80A6C9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9905249"/>
    <w:multiLevelType w:val="hybridMultilevel"/>
    <w:tmpl w:val="0A829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8641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FF072B2"/>
    <w:multiLevelType w:val="hybridMultilevel"/>
    <w:tmpl w:val="AE86F126"/>
    <w:lvl w:ilvl="0" w:tplc="2FFA16E2">
      <w:start w:val="1"/>
      <w:numFmt w:val="bullet"/>
      <w:lvlText w:val=""/>
      <w:lvlJc w:val="left"/>
      <w:pPr>
        <w:tabs>
          <w:tab w:val="num" w:pos="1419"/>
        </w:tabs>
        <w:ind w:left="1419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2"/>
  </w:num>
  <w:num w:numId="5">
    <w:abstractNumId w:val="2"/>
  </w:num>
  <w:num w:numId="6">
    <w:abstractNumId w:val="14"/>
  </w:num>
  <w:num w:numId="7">
    <w:abstractNumId w:val="17"/>
    <w:lvlOverride w:ilvl="0">
      <w:startOverride w:val="1"/>
    </w:lvlOverride>
  </w:num>
  <w:num w:numId="8">
    <w:abstractNumId w:val="13"/>
  </w:num>
  <w:num w:numId="9">
    <w:abstractNumId w:val="25"/>
  </w:num>
  <w:num w:numId="10">
    <w:abstractNumId w:val="0"/>
  </w:num>
  <w:num w:numId="11">
    <w:abstractNumId w:val="7"/>
  </w:num>
  <w:num w:numId="12">
    <w:abstractNumId w:val="27"/>
  </w:num>
  <w:num w:numId="13">
    <w:abstractNumId w:val="20"/>
  </w:num>
  <w:num w:numId="14">
    <w:abstractNumId w:val="15"/>
  </w:num>
  <w:num w:numId="15">
    <w:abstractNumId w:val="26"/>
  </w:num>
  <w:num w:numId="16">
    <w:abstractNumId w:val="18"/>
  </w:num>
  <w:num w:numId="17">
    <w:abstractNumId w:val="1"/>
  </w:num>
  <w:num w:numId="18">
    <w:abstractNumId w:val="9"/>
  </w:num>
  <w:num w:numId="19">
    <w:abstractNumId w:val="24"/>
  </w:num>
  <w:num w:numId="20">
    <w:abstractNumId w:val="16"/>
  </w:num>
  <w:num w:numId="21">
    <w:abstractNumId w:val="19"/>
  </w:num>
  <w:num w:numId="22">
    <w:abstractNumId w:val="11"/>
  </w:num>
  <w:num w:numId="23">
    <w:abstractNumId w:val="23"/>
  </w:num>
  <w:num w:numId="24">
    <w:abstractNumId w:val="21"/>
  </w:num>
  <w:num w:numId="25">
    <w:abstractNumId w:val="3"/>
  </w:num>
  <w:num w:numId="26">
    <w:abstractNumId w:val="8"/>
  </w:num>
  <w:num w:numId="27">
    <w:abstractNumId w:val="22"/>
  </w:num>
  <w:num w:numId="28">
    <w:abstractNumId w:val="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39E"/>
    <w:rsid w:val="000005E4"/>
    <w:rsid w:val="0000659D"/>
    <w:rsid w:val="0001132F"/>
    <w:rsid w:val="000164E5"/>
    <w:rsid w:val="0001795D"/>
    <w:rsid w:val="00023F58"/>
    <w:rsid w:val="00045A1F"/>
    <w:rsid w:val="0006683F"/>
    <w:rsid w:val="000761F8"/>
    <w:rsid w:val="000801B9"/>
    <w:rsid w:val="0008480B"/>
    <w:rsid w:val="00090188"/>
    <w:rsid w:val="000A6694"/>
    <w:rsid w:val="000B1218"/>
    <w:rsid w:val="000C078C"/>
    <w:rsid w:val="000C5E1D"/>
    <w:rsid w:val="000D378F"/>
    <w:rsid w:val="000D4C50"/>
    <w:rsid w:val="000D70EC"/>
    <w:rsid w:val="000F07E5"/>
    <w:rsid w:val="0010531A"/>
    <w:rsid w:val="00106127"/>
    <w:rsid w:val="0011143E"/>
    <w:rsid w:val="00114EF5"/>
    <w:rsid w:val="00117F5D"/>
    <w:rsid w:val="00127211"/>
    <w:rsid w:val="0014002E"/>
    <w:rsid w:val="00143822"/>
    <w:rsid w:val="0015620A"/>
    <w:rsid w:val="0016290C"/>
    <w:rsid w:val="00171108"/>
    <w:rsid w:val="0018162E"/>
    <w:rsid w:val="00183E60"/>
    <w:rsid w:val="00193BE2"/>
    <w:rsid w:val="001A103D"/>
    <w:rsid w:val="001B08D9"/>
    <w:rsid w:val="001B412E"/>
    <w:rsid w:val="001B73F6"/>
    <w:rsid w:val="001C0E66"/>
    <w:rsid w:val="001C17B2"/>
    <w:rsid w:val="001C4B3B"/>
    <w:rsid w:val="001C5219"/>
    <w:rsid w:val="001C598D"/>
    <w:rsid w:val="001E3E22"/>
    <w:rsid w:val="001E67BE"/>
    <w:rsid w:val="001F3423"/>
    <w:rsid w:val="001F6469"/>
    <w:rsid w:val="001F7B48"/>
    <w:rsid w:val="001F7E77"/>
    <w:rsid w:val="00227BB0"/>
    <w:rsid w:val="0023067C"/>
    <w:rsid w:val="00237524"/>
    <w:rsid w:val="00244DE0"/>
    <w:rsid w:val="00246949"/>
    <w:rsid w:val="0025062A"/>
    <w:rsid w:val="00251BD2"/>
    <w:rsid w:val="00264627"/>
    <w:rsid w:val="002704E6"/>
    <w:rsid w:val="0027205B"/>
    <w:rsid w:val="00273A7A"/>
    <w:rsid w:val="002819F1"/>
    <w:rsid w:val="00291F9B"/>
    <w:rsid w:val="002938C6"/>
    <w:rsid w:val="002A36DF"/>
    <w:rsid w:val="002A62AD"/>
    <w:rsid w:val="002A772D"/>
    <w:rsid w:val="002B3225"/>
    <w:rsid w:val="002B476B"/>
    <w:rsid w:val="002C5FE9"/>
    <w:rsid w:val="002E6719"/>
    <w:rsid w:val="002F60D5"/>
    <w:rsid w:val="002F73A7"/>
    <w:rsid w:val="00305673"/>
    <w:rsid w:val="0031589B"/>
    <w:rsid w:val="0031692E"/>
    <w:rsid w:val="00320A1D"/>
    <w:rsid w:val="0034027B"/>
    <w:rsid w:val="00356A7C"/>
    <w:rsid w:val="00366082"/>
    <w:rsid w:val="003823DB"/>
    <w:rsid w:val="003843D6"/>
    <w:rsid w:val="00397680"/>
    <w:rsid w:val="003B4794"/>
    <w:rsid w:val="003D262A"/>
    <w:rsid w:val="003D2C97"/>
    <w:rsid w:val="003D2DB0"/>
    <w:rsid w:val="003D386F"/>
    <w:rsid w:val="003D4623"/>
    <w:rsid w:val="003E6220"/>
    <w:rsid w:val="004044F9"/>
    <w:rsid w:val="00410D5A"/>
    <w:rsid w:val="00411AE2"/>
    <w:rsid w:val="00422441"/>
    <w:rsid w:val="00437F48"/>
    <w:rsid w:val="004430C2"/>
    <w:rsid w:val="004557E9"/>
    <w:rsid w:val="00461F68"/>
    <w:rsid w:val="00466A1E"/>
    <w:rsid w:val="00473193"/>
    <w:rsid w:val="00477410"/>
    <w:rsid w:val="00477901"/>
    <w:rsid w:val="0048351C"/>
    <w:rsid w:val="00486F43"/>
    <w:rsid w:val="00487E55"/>
    <w:rsid w:val="00491AD8"/>
    <w:rsid w:val="004953BD"/>
    <w:rsid w:val="004A0E5B"/>
    <w:rsid w:val="004A4B25"/>
    <w:rsid w:val="004C2DCA"/>
    <w:rsid w:val="004C4817"/>
    <w:rsid w:val="004C62F7"/>
    <w:rsid w:val="004C6875"/>
    <w:rsid w:val="004F1D72"/>
    <w:rsid w:val="00501D5A"/>
    <w:rsid w:val="00504699"/>
    <w:rsid w:val="0051425C"/>
    <w:rsid w:val="0054301F"/>
    <w:rsid w:val="00574D38"/>
    <w:rsid w:val="00592D4F"/>
    <w:rsid w:val="00593F50"/>
    <w:rsid w:val="005B4297"/>
    <w:rsid w:val="005C7502"/>
    <w:rsid w:val="005D0332"/>
    <w:rsid w:val="005E1578"/>
    <w:rsid w:val="005F1F4C"/>
    <w:rsid w:val="005F7B7D"/>
    <w:rsid w:val="0061178A"/>
    <w:rsid w:val="00627605"/>
    <w:rsid w:val="00635052"/>
    <w:rsid w:val="006351A4"/>
    <w:rsid w:val="00643E99"/>
    <w:rsid w:val="006502A1"/>
    <w:rsid w:val="00662CCC"/>
    <w:rsid w:val="00676632"/>
    <w:rsid w:val="00684C62"/>
    <w:rsid w:val="0069026C"/>
    <w:rsid w:val="006A25BA"/>
    <w:rsid w:val="006C384C"/>
    <w:rsid w:val="006C6B4E"/>
    <w:rsid w:val="006E63F1"/>
    <w:rsid w:val="006F3D72"/>
    <w:rsid w:val="006F5546"/>
    <w:rsid w:val="00701FC7"/>
    <w:rsid w:val="007256B5"/>
    <w:rsid w:val="007507F1"/>
    <w:rsid w:val="0076097F"/>
    <w:rsid w:val="00762D62"/>
    <w:rsid w:val="00776129"/>
    <w:rsid w:val="00796E39"/>
    <w:rsid w:val="007A4B07"/>
    <w:rsid w:val="007C6AAB"/>
    <w:rsid w:val="007C7D23"/>
    <w:rsid w:val="007D1528"/>
    <w:rsid w:val="007E3E11"/>
    <w:rsid w:val="007E5212"/>
    <w:rsid w:val="0080774E"/>
    <w:rsid w:val="00807C40"/>
    <w:rsid w:val="008367BD"/>
    <w:rsid w:val="008373BA"/>
    <w:rsid w:val="0085373B"/>
    <w:rsid w:val="008548B1"/>
    <w:rsid w:val="00872DDE"/>
    <w:rsid w:val="00874AB4"/>
    <w:rsid w:val="00881C01"/>
    <w:rsid w:val="0089070A"/>
    <w:rsid w:val="00890C4F"/>
    <w:rsid w:val="008A6542"/>
    <w:rsid w:val="008B703C"/>
    <w:rsid w:val="008D197D"/>
    <w:rsid w:val="008D342C"/>
    <w:rsid w:val="008D66DC"/>
    <w:rsid w:val="008E3214"/>
    <w:rsid w:val="008E5C29"/>
    <w:rsid w:val="008F307B"/>
    <w:rsid w:val="008F53C8"/>
    <w:rsid w:val="0090234A"/>
    <w:rsid w:val="0090283E"/>
    <w:rsid w:val="009172E6"/>
    <w:rsid w:val="00925666"/>
    <w:rsid w:val="00925E0D"/>
    <w:rsid w:val="009508A8"/>
    <w:rsid w:val="00954A85"/>
    <w:rsid w:val="0095545A"/>
    <w:rsid w:val="00971083"/>
    <w:rsid w:val="0098061E"/>
    <w:rsid w:val="009B22D1"/>
    <w:rsid w:val="009C6BFF"/>
    <w:rsid w:val="009E0706"/>
    <w:rsid w:val="00A10888"/>
    <w:rsid w:val="00A12104"/>
    <w:rsid w:val="00A154B9"/>
    <w:rsid w:val="00A42184"/>
    <w:rsid w:val="00A4712D"/>
    <w:rsid w:val="00A54228"/>
    <w:rsid w:val="00A66D29"/>
    <w:rsid w:val="00A808C3"/>
    <w:rsid w:val="00A845E5"/>
    <w:rsid w:val="00A931A9"/>
    <w:rsid w:val="00AC2400"/>
    <w:rsid w:val="00AC2ED3"/>
    <w:rsid w:val="00AD6582"/>
    <w:rsid w:val="00AE2E9A"/>
    <w:rsid w:val="00AE7F3B"/>
    <w:rsid w:val="00AF715C"/>
    <w:rsid w:val="00B00470"/>
    <w:rsid w:val="00B1106F"/>
    <w:rsid w:val="00B30395"/>
    <w:rsid w:val="00B479FA"/>
    <w:rsid w:val="00B55B63"/>
    <w:rsid w:val="00B65546"/>
    <w:rsid w:val="00B667FC"/>
    <w:rsid w:val="00BB7ACC"/>
    <w:rsid w:val="00BC4FE5"/>
    <w:rsid w:val="00BC5BCF"/>
    <w:rsid w:val="00BD1DFE"/>
    <w:rsid w:val="00BD2206"/>
    <w:rsid w:val="00BD4EB0"/>
    <w:rsid w:val="00BE1CFC"/>
    <w:rsid w:val="00BE6170"/>
    <w:rsid w:val="00C02B01"/>
    <w:rsid w:val="00C22563"/>
    <w:rsid w:val="00C273A7"/>
    <w:rsid w:val="00C45333"/>
    <w:rsid w:val="00C57274"/>
    <w:rsid w:val="00C668AE"/>
    <w:rsid w:val="00C6781B"/>
    <w:rsid w:val="00C768DE"/>
    <w:rsid w:val="00C86E5F"/>
    <w:rsid w:val="00C91137"/>
    <w:rsid w:val="00C9539E"/>
    <w:rsid w:val="00CD157C"/>
    <w:rsid w:val="00CF3495"/>
    <w:rsid w:val="00D0356A"/>
    <w:rsid w:val="00D047F8"/>
    <w:rsid w:val="00D62230"/>
    <w:rsid w:val="00D661E4"/>
    <w:rsid w:val="00D74BE9"/>
    <w:rsid w:val="00D833EC"/>
    <w:rsid w:val="00D932ED"/>
    <w:rsid w:val="00D9541D"/>
    <w:rsid w:val="00D969C0"/>
    <w:rsid w:val="00DA21C6"/>
    <w:rsid w:val="00DB0690"/>
    <w:rsid w:val="00DB62CD"/>
    <w:rsid w:val="00DB721B"/>
    <w:rsid w:val="00DD11EE"/>
    <w:rsid w:val="00DD7D44"/>
    <w:rsid w:val="00DF5493"/>
    <w:rsid w:val="00E044F2"/>
    <w:rsid w:val="00E14667"/>
    <w:rsid w:val="00E82E49"/>
    <w:rsid w:val="00E8361C"/>
    <w:rsid w:val="00E85F38"/>
    <w:rsid w:val="00E941C3"/>
    <w:rsid w:val="00EA230F"/>
    <w:rsid w:val="00EA453E"/>
    <w:rsid w:val="00EC0F74"/>
    <w:rsid w:val="00ED6706"/>
    <w:rsid w:val="00EE1AA9"/>
    <w:rsid w:val="00EF78DC"/>
    <w:rsid w:val="00F0345B"/>
    <w:rsid w:val="00F1237A"/>
    <w:rsid w:val="00F16516"/>
    <w:rsid w:val="00F16DFC"/>
    <w:rsid w:val="00F3532C"/>
    <w:rsid w:val="00F43D45"/>
    <w:rsid w:val="00F4403C"/>
    <w:rsid w:val="00F44812"/>
    <w:rsid w:val="00F5229F"/>
    <w:rsid w:val="00F53FB9"/>
    <w:rsid w:val="00F55005"/>
    <w:rsid w:val="00F56CE9"/>
    <w:rsid w:val="00F62526"/>
    <w:rsid w:val="00F724BC"/>
    <w:rsid w:val="00F8448E"/>
    <w:rsid w:val="00F96764"/>
    <w:rsid w:val="00FB129C"/>
    <w:rsid w:val="00FB5B1B"/>
    <w:rsid w:val="00FC6E11"/>
    <w:rsid w:val="00FD0301"/>
    <w:rsid w:val="00FF4867"/>
    <w:rsid w:val="00FF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A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Heading1"/>
    <w:link w:val="Heading2Char"/>
    <w:uiPriority w:val="99"/>
    <w:qFormat/>
    <w:rsid w:val="00FB5B1B"/>
    <w:pPr>
      <w:keepNext/>
      <w:keepLines/>
      <w:numPr>
        <w:numId w:val="8"/>
      </w:num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3A7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5B1B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EC0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75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7502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E85F38"/>
    <w:pPr>
      <w:spacing w:after="100"/>
    </w:pPr>
  </w:style>
  <w:style w:type="character" w:styleId="Hyperlink">
    <w:name w:val="Hyperlink"/>
    <w:basedOn w:val="DefaultParagraphFont"/>
    <w:uiPriority w:val="99"/>
    <w:rsid w:val="00E85F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817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99"/>
    <w:rsid w:val="003D2C97"/>
    <w:pPr>
      <w:spacing w:after="100"/>
      <w:ind w:left="220"/>
    </w:pPr>
  </w:style>
  <w:style w:type="paragraph" w:customStyle="1" w:styleId="Default">
    <w:name w:val="Default"/>
    <w:uiPriority w:val="99"/>
    <w:rsid w:val="001F34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Formatvorlage3">
    <w:name w:val="Formatvorlage3"/>
    <w:basedOn w:val="Normal"/>
    <w:uiPriority w:val="99"/>
    <w:rsid w:val="002938C6"/>
    <w:pPr>
      <w:numPr>
        <w:ilvl w:val="1"/>
        <w:numId w:val="11"/>
      </w:numPr>
      <w:tabs>
        <w:tab w:val="left" w:pos="1134"/>
      </w:tabs>
      <w:spacing w:after="60" w:line="240" w:lineRule="auto"/>
      <w:ind w:right="567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apple-converted-space">
    <w:name w:val="apple-converted-space"/>
    <w:basedOn w:val="DefaultParagraphFont"/>
    <w:uiPriority w:val="99"/>
    <w:rsid w:val="009256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3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3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34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34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34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4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34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4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34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34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34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34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347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347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347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34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034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3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34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34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34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4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34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4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34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34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34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347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34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34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34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347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0347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3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2140</TotalTime>
  <Pages>6</Pages>
  <Words>1313</Words>
  <Characters>7487</Characters>
  <Application>Microsoft Office Outlook</Application>
  <DocSecurity>0</DocSecurity>
  <Lines>0</Lines>
  <Paragraphs>0</Paragraphs>
  <ScaleCrop>false</ScaleCrop>
  <Company>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Milan Valjasek</dc:creator>
  <cp:keywords/>
  <dc:description/>
  <cp:lastModifiedBy>administrator</cp:lastModifiedBy>
  <cp:revision>134</cp:revision>
  <cp:lastPrinted>2014-04-01T07:13:00Z</cp:lastPrinted>
  <dcterms:created xsi:type="dcterms:W3CDTF">2014-04-03T08:06:00Z</dcterms:created>
  <dcterms:modified xsi:type="dcterms:W3CDTF">2014-10-25T06:14:00Z</dcterms:modified>
</cp:coreProperties>
</file>