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EF" w:rsidRDefault="00B606EF" w:rsidP="00273A7A">
      <w:pPr>
        <w:jc w:val="center"/>
        <w:rPr>
          <w:b/>
          <w:u w:val="single"/>
        </w:rPr>
      </w:pPr>
      <w:r>
        <w:rPr>
          <w:b/>
          <w:u w:val="single"/>
        </w:rPr>
        <w:t>Obstaranie technologických skriniek s koncetrátorom PLC a elektromerov s modemom PLC</w:t>
      </w:r>
    </w:p>
    <w:p w:rsidR="00B606EF" w:rsidRDefault="00B606EF">
      <w:pPr>
        <w:pStyle w:val="TOC1"/>
        <w:tabs>
          <w:tab w:val="right" w:leader="dot" w:pos="9062"/>
        </w:tabs>
        <w:rPr>
          <w:b/>
          <w:u w:val="single"/>
        </w:rPr>
      </w:pPr>
    </w:p>
    <w:p w:rsidR="00B606EF" w:rsidRDefault="00B606EF">
      <w:pPr>
        <w:pStyle w:val="TOC1"/>
        <w:tabs>
          <w:tab w:val="right" w:leader="dot" w:pos="9062"/>
        </w:tabs>
        <w:rPr>
          <w:b/>
          <w:u w:val="single"/>
        </w:rPr>
      </w:pPr>
    </w:p>
    <w:p w:rsidR="00B606EF" w:rsidRPr="00305673" w:rsidRDefault="00B606EF">
      <w:pPr>
        <w:pStyle w:val="TOC1"/>
        <w:tabs>
          <w:tab w:val="right" w:leader="dot" w:pos="9062"/>
        </w:tabs>
        <w:rPr>
          <w:b/>
        </w:rPr>
      </w:pPr>
      <w:r w:rsidRPr="00305673">
        <w:rPr>
          <w:b/>
          <w:u w:val="single"/>
        </w:rPr>
        <w:t xml:space="preserve">Obsah dokumentu </w:t>
      </w:r>
      <w:r w:rsidRPr="00305673">
        <w:rPr>
          <w:b/>
        </w:rPr>
        <w:t>:</w:t>
      </w:r>
    </w:p>
    <w:bookmarkStart w:id="0" w:name="_GoBack"/>
    <w:bookmarkEnd w:id="0"/>
    <w:p w:rsidR="00B606EF" w:rsidRDefault="00B606EF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01990656" w:history="1">
        <w:r w:rsidRPr="00E32B25">
          <w:rPr>
            <w:rStyle w:val="Hyperlink"/>
            <w:noProof/>
          </w:rPr>
          <w:t>1.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Pr="00E32B25">
          <w:rPr>
            <w:rStyle w:val="Hyperlink"/>
            <w:noProof/>
          </w:rPr>
          <w:t>Základné identifikačné údaje Obstarávateľa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_Toc401990656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6EF" w:rsidRDefault="00B606EF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401990657" w:history="1">
        <w:r w:rsidRPr="00E32B25">
          <w:rPr>
            <w:rStyle w:val="Hyperlink"/>
            <w:noProof/>
          </w:rPr>
          <w:t>2.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Pr="00E32B25">
          <w:rPr>
            <w:rStyle w:val="Hyperlink"/>
            <w:noProof/>
          </w:rPr>
          <w:t>Predmet obstarávania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_Toc401990657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6EF" w:rsidRDefault="00B606EF">
      <w:pPr>
        <w:pStyle w:val="TOC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401990658" w:history="1">
        <w:r w:rsidRPr="00E32B25">
          <w:rPr>
            <w:rStyle w:val="Hyperlink"/>
            <w:noProof/>
          </w:rPr>
          <w:t>2.1.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Pr="00E32B25">
          <w:rPr>
            <w:rStyle w:val="Hyperlink"/>
            <w:noProof/>
          </w:rPr>
          <w:t>Technologická  skriňa s univerzálnou montážou, osadená  trojfázovým koncentrátorom PLC  a  príslušenstvom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_Toc401990658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6EF" w:rsidRDefault="00B606EF">
      <w:pPr>
        <w:pStyle w:val="TOC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401990659" w:history="1">
        <w:r w:rsidRPr="00E32B25">
          <w:rPr>
            <w:rStyle w:val="Hyperlink"/>
            <w:noProof/>
          </w:rPr>
          <w:t>2.2.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Pr="00E32B25">
          <w:rPr>
            <w:rStyle w:val="Hyperlink"/>
            <w:noProof/>
          </w:rPr>
          <w:t>Jednofázový  inteligentný elektromer so základnou funkcionalitou, komunikujúci  modemom  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_Toc401990659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6EF" w:rsidRDefault="00B606EF">
      <w:pPr>
        <w:pStyle w:val="TOC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401990660" w:history="1">
        <w:r w:rsidRPr="00E32B25">
          <w:rPr>
            <w:rStyle w:val="Hyperlink"/>
            <w:noProof/>
          </w:rPr>
          <w:t>2.3.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Pr="00E32B25">
          <w:rPr>
            <w:rStyle w:val="Hyperlink"/>
            <w:noProof/>
          </w:rPr>
          <w:t>Trojfázový  inteligentný elektromer so základnou funkcionalitou, komunikujúci  modemom  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_Toc401990660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6EF" w:rsidRDefault="00B606EF">
      <w:pPr>
        <w:pStyle w:val="TOC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401990661" w:history="1">
        <w:r w:rsidRPr="00E32B25">
          <w:rPr>
            <w:rStyle w:val="Hyperlink"/>
            <w:noProof/>
          </w:rPr>
          <w:t>2.4.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Pr="00E32B25">
          <w:rPr>
            <w:rStyle w:val="Hyperlink"/>
            <w:noProof/>
          </w:rPr>
          <w:t>Trojfázový  inteligentný elektromer s pokročilou funkcionalitou s výmenným komunikačným modulom, obsahujúci   modem  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_Toc401990661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06EF" w:rsidRDefault="00B606EF">
      <w:pPr>
        <w:pStyle w:val="TOC2"/>
        <w:tabs>
          <w:tab w:val="left" w:pos="96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401990662" w:history="1">
        <w:r w:rsidRPr="00E32B25">
          <w:rPr>
            <w:rStyle w:val="Hyperlink"/>
            <w:noProof/>
          </w:rPr>
          <w:t>2.5.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Pr="00E32B25">
          <w:rPr>
            <w:rStyle w:val="Hyperlink"/>
            <w:noProof/>
          </w:rPr>
          <w:t>Trojfázový  inteligentný elektromer s pokročilou  funkcionalitou pre nepriame meranie  s výmenným komunikačným modulom, obsahujúci   modem  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_Toc401990662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06EF" w:rsidRDefault="00B606EF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401990663" w:history="1">
        <w:r w:rsidRPr="00E32B25">
          <w:rPr>
            <w:rStyle w:val="Hyperlink"/>
            <w:noProof/>
          </w:rPr>
          <w:t>3.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Pr="00E32B25">
          <w:rPr>
            <w:rStyle w:val="Hyperlink"/>
            <w:noProof/>
          </w:rPr>
          <w:t>Ciele obstarávania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_Toc401990663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606EF" w:rsidRDefault="00B606EF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401990664" w:history="1">
        <w:r w:rsidRPr="00E32B25">
          <w:rPr>
            <w:rStyle w:val="Hyperlink"/>
            <w:noProof/>
          </w:rPr>
          <w:t>4.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Pr="00E32B25">
          <w:rPr>
            <w:rStyle w:val="Hyperlink"/>
            <w:noProof/>
          </w:rPr>
          <w:t>Funkčné požiadavky na Technologickú skriňu a všeobecné požiadavky na inštalované komponenty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_Toc401990664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606EF" w:rsidRDefault="00B606EF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401990665" w:history="1">
        <w:r w:rsidRPr="00E32B25">
          <w:rPr>
            <w:rStyle w:val="Hyperlink"/>
            <w:noProof/>
          </w:rPr>
          <w:t>5.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Pr="00E32B25">
          <w:rPr>
            <w:rStyle w:val="Hyperlink"/>
            <w:noProof/>
          </w:rPr>
          <w:t>Alternatívy pripojenia  Koncentrátora PLC na Centrálu 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_Toc401990665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606EF" w:rsidRDefault="00B606EF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401990666" w:history="1">
        <w:r w:rsidRPr="00E32B25">
          <w:rPr>
            <w:rStyle w:val="Hyperlink"/>
            <w:noProof/>
          </w:rPr>
          <w:t>6.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Pr="00E32B25">
          <w:rPr>
            <w:rStyle w:val="Hyperlink"/>
            <w:noProof/>
          </w:rPr>
          <w:t>Funkčné požiadavky na Koncentrátor PLC (G3 alebo PRIME)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_Toc401990666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606EF" w:rsidRDefault="00B606EF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401990667" w:history="1">
        <w:r w:rsidRPr="00E32B25">
          <w:rPr>
            <w:rStyle w:val="Hyperlink"/>
            <w:noProof/>
          </w:rPr>
          <w:t>7.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Pr="00E32B25">
          <w:rPr>
            <w:rStyle w:val="Hyperlink"/>
            <w:noProof/>
          </w:rPr>
          <w:t>Uchádzač pri prihlásení sa do súťaže musí poskytnúť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_Toc401990667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606EF" w:rsidRDefault="00B606EF">
      <w:pPr>
        <w:pStyle w:val="TOC1"/>
        <w:tabs>
          <w:tab w:val="left" w:pos="480"/>
          <w:tab w:val="right" w:leader="dot" w:pos="9062"/>
        </w:tabs>
        <w:rPr>
          <w:rFonts w:ascii="Times New Roman" w:hAnsi="Times New Roman"/>
          <w:noProof/>
          <w:sz w:val="24"/>
          <w:szCs w:val="24"/>
          <w:lang w:val="en-US"/>
        </w:rPr>
      </w:pPr>
      <w:hyperlink w:anchor="_Toc401990668" w:history="1">
        <w:r w:rsidRPr="00E32B25">
          <w:rPr>
            <w:rStyle w:val="Hyperlink"/>
            <w:noProof/>
          </w:rPr>
          <w:t>8.</w:t>
        </w:r>
        <w:r>
          <w:rPr>
            <w:rFonts w:ascii="Times New Roman" w:hAnsi="Times New Roman"/>
            <w:noProof/>
            <w:sz w:val="24"/>
            <w:szCs w:val="24"/>
            <w:lang w:val="en-US"/>
          </w:rPr>
          <w:tab/>
        </w:r>
        <w:r w:rsidRPr="00E32B25">
          <w:rPr>
            <w:rStyle w:val="Hyperlink"/>
            <w:noProof/>
          </w:rPr>
          <w:t>Postup testovania predmetu obstarávania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_Toc401990668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606EF" w:rsidRDefault="00B606EF" w:rsidP="00273A7A">
      <w:r>
        <w:fldChar w:fldCharType="end"/>
      </w:r>
    </w:p>
    <w:p w:rsidR="00B606EF" w:rsidRPr="0001795D" w:rsidRDefault="00B606EF" w:rsidP="00397680">
      <w:r>
        <w:br w:type="page"/>
        <w:t>Zoznam použitých skratiek</w:t>
      </w:r>
    </w:p>
    <w:p w:rsidR="00B606EF" w:rsidRDefault="00B606EF" w:rsidP="00273A7A">
      <w:pPr>
        <w:spacing w:after="0"/>
        <w:ind w:left="1134" w:hanging="1134"/>
        <w:rPr>
          <w:lang w:val="en-US"/>
        </w:rPr>
      </w:pPr>
    </w:p>
    <w:p w:rsidR="00B606EF" w:rsidRPr="0001795D" w:rsidRDefault="00B606EF" w:rsidP="00273A7A">
      <w:pPr>
        <w:spacing w:after="0"/>
        <w:ind w:left="1134" w:hanging="1134"/>
        <w:rPr>
          <w:lang w:val="en-US"/>
        </w:rPr>
      </w:pPr>
      <w:r w:rsidRPr="0001795D">
        <w:rPr>
          <w:lang w:val="en-US"/>
        </w:rPr>
        <w:t>C</w:t>
      </w:r>
      <w:r>
        <w:rPr>
          <w:lang w:val="en-US"/>
        </w:rPr>
        <w:t>ENELEC</w:t>
      </w:r>
      <w:r w:rsidRPr="0001795D">
        <w:rPr>
          <w:lang w:val="en-US"/>
        </w:rPr>
        <w:tab/>
        <w:t>-</w:t>
      </w:r>
      <w:r w:rsidRPr="0001795D">
        <w:rPr>
          <w:lang w:val="en-US"/>
        </w:rPr>
        <w:tab/>
      </w:r>
      <w:r w:rsidRPr="00EA230F">
        <w:rPr>
          <w:bCs/>
          <w:lang w:val="en-US"/>
        </w:rPr>
        <w:t>European Committee for Electrotechnical Standardization</w:t>
      </w:r>
    </w:p>
    <w:p w:rsidR="00B606EF" w:rsidRPr="0001795D" w:rsidRDefault="00B606EF" w:rsidP="00EA230F">
      <w:pPr>
        <w:spacing w:after="0"/>
        <w:ind w:left="1134" w:hanging="1134"/>
        <w:rPr>
          <w:lang w:val="en-US"/>
        </w:rPr>
      </w:pPr>
      <w:r w:rsidRPr="0001795D">
        <w:rPr>
          <w:lang w:val="en-US"/>
        </w:rPr>
        <w:t>COSEM</w:t>
      </w:r>
      <w:r w:rsidRPr="0001795D">
        <w:rPr>
          <w:lang w:val="en-US"/>
        </w:rPr>
        <w:tab/>
        <w:t>-</w:t>
      </w:r>
      <w:r w:rsidRPr="0001795D">
        <w:rPr>
          <w:lang w:val="en-US"/>
        </w:rPr>
        <w:tab/>
      </w:r>
      <w:r w:rsidRPr="0001795D">
        <w:rPr>
          <w:rFonts w:cs="ArialMT"/>
          <w:lang w:val="en-US"/>
        </w:rPr>
        <w:t>Companion Specification for Energy Metering</w:t>
      </w:r>
    </w:p>
    <w:p w:rsidR="00B606EF" w:rsidRPr="0001795D" w:rsidRDefault="00B606EF" w:rsidP="00273A7A">
      <w:pPr>
        <w:spacing w:after="0"/>
        <w:ind w:left="1134" w:hanging="1134"/>
        <w:rPr>
          <w:rFonts w:cs="ArialMT"/>
          <w:lang w:val="en-US"/>
        </w:rPr>
      </w:pPr>
      <w:r w:rsidRPr="0001795D">
        <w:rPr>
          <w:lang w:val="en-US"/>
        </w:rPr>
        <w:t>DLMS</w:t>
      </w:r>
      <w:r w:rsidRPr="0001795D">
        <w:rPr>
          <w:lang w:val="en-US"/>
        </w:rPr>
        <w:tab/>
        <w:t>-</w:t>
      </w:r>
      <w:r w:rsidRPr="0001795D">
        <w:rPr>
          <w:lang w:val="en-US"/>
        </w:rPr>
        <w:tab/>
      </w:r>
      <w:r w:rsidRPr="0001795D">
        <w:rPr>
          <w:rFonts w:cs="ArialMT"/>
          <w:lang w:val="en-US"/>
        </w:rPr>
        <w:t>Device Language Message Specification</w:t>
      </w:r>
    </w:p>
    <w:p w:rsidR="00B606EF" w:rsidRPr="0001795D" w:rsidRDefault="00B606EF" w:rsidP="00273A7A">
      <w:pPr>
        <w:spacing w:after="0"/>
        <w:ind w:left="1134" w:hanging="1134"/>
        <w:rPr>
          <w:rFonts w:cs="ArialMT"/>
          <w:lang w:val="en-US"/>
        </w:rPr>
      </w:pPr>
      <w:r w:rsidRPr="0001795D">
        <w:rPr>
          <w:lang w:val="en-US"/>
        </w:rPr>
        <w:t>GPRS</w:t>
      </w:r>
      <w:r w:rsidRPr="0001795D">
        <w:rPr>
          <w:lang w:val="en-US"/>
        </w:rPr>
        <w:tab/>
        <w:t>-</w:t>
      </w:r>
      <w:r w:rsidRPr="0001795D">
        <w:rPr>
          <w:rFonts w:cs="ArialMT"/>
          <w:lang w:val="en-US"/>
        </w:rPr>
        <w:tab/>
        <w:t>General Packet Radio Service</w:t>
      </w:r>
    </w:p>
    <w:p w:rsidR="00B606EF" w:rsidRPr="0001795D" w:rsidRDefault="00B606EF" w:rsidP="00273A7A">
      <w:pPr>
        <w:spacing w:after="0"/>
        <w:ind w:left="1134" w:hanging="1134"/>
        <w:rPr>
          <w:rFonts w:cs="ArialMT"/>
          <w:lang w:val="en-US"/>
        </w:rPr>
      </w:pPr>
      <w:r w:rsidRPr="0001795D">
        <w:rPr>
          <w:lang w:val="en-US"/>
        </w:rPr>
        <w:t>GSM</w:t>
      </w:r>
      <w:r w:rsidRPr="0001795D">
        <w:rPr>
          <w:lang w:val="en-US"/>
        </w:rPr>
        <w:tab/>
        <w:t>-</w:t>
      </w:r>
      <w:r w:rsidRPr="0001795D">
        <w:rPr>
          <w:rFonts w:cs="ArialMT"/>
          <w:lang w:val="en-US"/>
        </w:rPr>
        <w:tab/>
        <w:t>Global System for Mobile Communication</w:t>
      </w:r>
    </w:p>
    <w:p w:rsidR="00B606EF" w:rsidRPr="0001795D" w:rsidRDefault="00B606EF" w:rsidP="00C273A7">
      <w:pPr>
        <w:spacing w:after="0"/>
        <w:ind w:left="1134" w:hanging="1134"/>
        <w:rPr>
          <w:lang w:val="en-US"/>
        </w:rPr>
      </w:pPr>
      <w:r>
        <w:rPr>
          <w:lang w:val="en-US"/>
        </w:rPr>
        <w:t>I</w:t>
      </w:r>
      <w:r w:rsidRPr="0001795D">
        <w:rPr>
          <w:lang w:val="en-US"/>
        </w:rPr>
        <w:t>C</w:t>
      </w:r>
      <w:r>
        <w:rPr>
          <w:lang w:val="en-US"/>
        </w:rPr>
        <w:t>T</w:t>
      </w:r>
      <w:r w:rsidRPr="0001795D">
        <w:rPr>
          <w:lang w:val="en-US"/>
        </w:rPr>
        <w:tab/>
        <w:t>-</w:t>
      </w:r>
      <w:r w:rsidRPr="0001795D">
        <w:rPr>
          <w:lang w:val="en-US"/>
        </w:rPr>
        <w:tab/>
      </w:r>
      <w:r>
        <w:rPr>
          <w:lang w:val="en-US"/>
        </w:rPr>
        <w:t xml:space="preserve">Information and </w:t>
      </w:r>
      <w:r w:rsidRPr="0001795D">
        <w:rPr>
          <w:lang w:val="en-US"/>
        </w:rPr>
        <w:t xml:space="preserve"> </w:t>
      </w:r>
      <w:r w:rsidRPr="0001795D">
        <w:rPr>
          <w:rFonts w:cs="ArialMT"/>
          <w:lang w:val="en-US"/>
        </w:rPr>
        <w:t>Communication</w:t>
      </w:r>
      <w:r>
        <w:rPr>
          <w:rFonts w:cs="ArialMT"/>
          <w:lang w:val="en-US"/>
        </w:rPr>
        <w:t xml:space="preserve">s Technology </w:t>
      </w:r>
    </w:p>
    <w:p w:rsidR="00B606EF" w:rsidRPr="0001795D" w:rsidRDefault="00B606EF" w:rsidP="00273A7A">
      <w:pPr>
        <w:spacing w:after="0"/>
        <w:ind w:left="1134" w:hanging="1134"/>
        <w:rPr>
          <w:lang w:val="en-US"/>
        </w:rPr>
      </w:pPr>
      <w:r w:rsidRPr="0001795D">
        <w:rPr>
          <w:lang w:val="en-US"/>
        </w:rPr>
        <w:t>IEC</w:t>
      </w:r>
      <w:r w:rsidRPr="0001795D">
        <w:rPr>
          <w:lang w:val="en-US"/>
        </w:rPr>
        <w:tab/>
        <w:t>-</w:t>
      </w:r>
      <w:r w:rsidRPr="0001795D">
        <w:rPr>
          <w:lang w:val="en-US"/>
        </w:rPr>
        <w:tab/>
        <w:t>International Electrotechnical Commission</w:t>
      </w:r>
    </w:p>
    <w:p w:rsidR="00B606EF" w:rsidRDefault="00B606EF" w:rsidP="00273A7A">
      <w:pPr>
        <w:spacing w:after="0"/>
        <w:ind w:left="1134" w:hanging="1134"/>
      </w:pPr>
      <w:r w:rsidRPr="0001795D">
        <w:t>IMS</w:t>
      </w:r>
      <w:r w:rsidRPr="0001795D">
        <w:tab/>
        <w:t>-</w:t>
      </w:r>
      <w:r w:rsidRPr="0001795D">
        <w:tab/>
        <w:t>Inteligentný merací systém v zmysle Vyhlášky  č. 358 Ministerstva hospodárstva Slovenskej republiky z 28.10.2013</w:t>
      </w:r>
    </w:p>
    <w:p w:rsidR="00B606EF" w:rsidRDefault="00B606EF" w:rsidP="00273A7A">
      <w:pPr>
        <w:spacing w:after="0"/>
        <w:ind w:left="1134" w:hanging="1134"/>
      </w:pPr>
      <w:r>
        <w:t>IPv4</w:t>
      </w:r>
      <w:r>
        <w:tab/>
        <w:t>-</w:t>
      </w:r>
      <w:r>
        <w:tab/>
        <w:t>Internet Protocol, Version 4</w:t>
      </w:r>
    </w:p>
    <w:p w:rsidR="00B606EF" w:rsidRDefault="00B606EF" w:rsidP="00273A7A">
      <w:pPr>
        <w:spacing w:after="0"/>
        <w:ind w:left="1134" w:hanging="1134"/>
        <w:rPr>
          <w:lang w:val="en-US"/>
        </w:rPr>
      </w:pPr>
      <w:r w:rsidRPr="0001795D">
        <w:t>PLC</w:t>
      </w:r>
      <w:r w:rsidRPr="0001795D">
        <w:tab/>
        <w:t>-</w:t>
      </w:r>
      <w:r w:rsidRPr="0001795D">
        <w:tab/>
      </w:r>
      <w:r w:rsidRPr="0001795D">
        <w:rPr>
          <w:lang w:val="en-US"/>
        </w:rPr>
        <w:t>Power Line Communication</w:t>
      </w:r>
    </w:p>
    <w:p w:rsidR="00B606EF" w:rsidRPr="0001795D" w:rsidRDefault="00B606EF" w:rsidP="00273A7A">
      <w:pPr>
        <w:spacing w:after="0"/>
        <w:ind w:left="1134" w:hanging="1134"/>
      </w:pPr>
      <w:r>
        <w:rPr>
          <w:lang w:val="en-US"/>
        </w:rPr>
        <w:t>TCO</w:t>
      </w:r>
      <w:r>
        <w:rPr>
          <w:lang w:val="en-US"/>
        </w:rPr>
        <w:tab/>
        <w:t>-</w:t>
      </w:r>
      <w:r>
        <w:rPr>
          <w:lang w:val="en-US"/>
        </w:rPr>
        <w:tab/>
        <w:t>Total cost of ownership</w:t>
      </w:r>
    </w:p>
    <w:p w:rsidR="00B606EF" w:rsidRPr="0001795D" w:rsidRDefault="00B606EF" w:rsidP="00273A7A">
      <w:pPr>
        <w:spacing w:after="0"/>
        <w:ind w:left="1134" w:hanging="1134"/>
        <w:rPr>
          <w:rFonts w:cs="ArialMT"/>
          <w:lang w:val="en-US"/>
        </w:rPr>
      </w:pPr>
      <w:r w:rsidRPr="0001795D">
        <w:t>TCP</w:t>
      </w:r>
      <w:r w:rsidRPr="0001795D">
        <w:tab/>
        <w:t>-</w:t>
      </w:r>
      <w:r w:rsidRPr="0001795D">
        <w:tab/>
      </w:r>
      <w:r w:rsidRPr="0001795D">
        <w:rPr>
          <w:rFonts w:cs="ArialMT"/>
          <w:lang w:val="en-US"/>
        </w:rPr>
        <w:t>Transmission Control Protocol</w:t>
      </w:r>
    </w:p>
    <w:p w:rsidR="00B606EF" w:rsidRDefault="00B606EF" w:rsidP="00273A7A">
      <w:pPr>
        <w:spacing w:after="0"/>
        <w:ind w:left="1134" w:hanging="1134"/>
        <w:rPr>
          <w:rFonts w:cs="ArialMT"/>
          <w:lang w:val="en-US"/>
        </w:rPr>
      </w:pPr>
      <w:r w:rsidRPr="0001795D">
        <w:t>UDP</w:t>
      </w:r>
      <w:r w:rsidRPr="0001795D">
        <w:tab/>
        <w:t>-</w:t>
      </w:r>
      <w:r w:rsidRPr="0001795D">
        <w:tab/>
      </w:r>
      <w:r w:rsidRPr="0001795D">
        <w:rPr>
          <w:rFonts w:cs="ArialMT"/>
          <w:lang w:val="en-US"/>
        </w:rPr>
        <w:t>User Datagram Protocol</w:t>
      </w:r>
    </w:p>
    <w:p w:rsidR="00B606EF" w:rsidRPr="0001795D" w:rsidRDefault="00B606EF" w:rsidP="00273A7A">
      <w:pPr>
        <w:spacing w:after="0"/>
        <w:ind w:left="1134" w:hanging="1134"/>
      </w:pPr>
      <w:r>
        <w:t>„Vyhláška“</w:t>
      </w:r>
      <w:r>
        <w:tab/>
        <w:t>-</w:t>
      </w:r>
      <w:r>
        <w:tab/>
        <w:t>Aktuálne znenie Vyhlášky</w:t>
      </w:r>
      <w:r w:rsidRPr="0001795D">
        <w:t xml:space="preserve">  č. 358 Ministerstva hospodárstva Slovenskej republiky z 28.10.2013</w:t>
      </w:r>
    </w:p>
    <w:p w:rsidR="00B606EF" w:rsidRDefault="00B606EF">
      <w:pPr>
        <w:rPr>
          <w:rFonts w:ascii="Cambria" w:hAnsi="Cambria"/>
          <w:b/>
          <w:bCs/>
          <w:color w:val="365F91"/>
          <w:sz w:val="28"/>
          <w:szCs w:val="28"/>
        </w:rPr>
      </w:pPr>
      <w:r>
        <w:br w:type="page"/>
      </w:r>
    </w:p>
    <w:p w:rsidR="00B606EF" w:rsidRDefault="00B606EF" w:rsidP="00EA453E">
      <w:pPr>
        <w:pStyle w:val="Heading1"/>
        <w:numPr>
          <w:ilvl w:val="0"/>
          <w:numId w:val="1"/>
        </w:numPr>
      </w:pPr>
      <w:bookmarkStart w:id="1" w:name="_Toc401990656"/>
      <w:r w:rsidRPr="004C4817">
        <w:t xml:space="preserve">Základné identifikačné údaje </w:t>
      </w:r>
      <w:r>
        <w:t>Obstarávateľa</w:t>
      </w:r>
      <w:bookmarkEnd w:id="1"/>
    </w:p>
    <w:p w:rsidR="00B606EF" w:rsidRDefault="00B606EF" w:rsidP="004C4817">
      <w:pPr>
        <w:spacing w:after="0"/>
      </w:pPr>
      <w:r>
        <w:t>Obchodné meno:  Stredoslovenská energetika – Distribúcia, a.s.</w:t>
      </w:r>
    </w:p>
    <w:p w:rsidR="00B606EF" w:rsidRDefault="00B606EF" w:rsidP="004C4817">
      <w:pPr>
        <w:spacing w:after="0"/>
      </w:pPr>
      <w:r>
        <w:t xml:space="preserve">Sídlo: </w:t>
      </w:r>
      <w:r w:rsidRPr="004C4817">
        <w:t xml:space="preserve"> Pri Rajčianke 2927/8</w:t>
      </w:r>
      <w:r>
        <w:t xml:space="preserve">,  </w:t>
      </w:r>
      <w:r w:rsidRPr="004C4817">
        <w:t>010 47 Žilina</w:t>
      </w:r>
    </w:p>
    <w:p w:rsidR="00B606EF" w:rsidRPr="004C4817" w:rsidRDefault="00B606EF" w:rsidP="004C4817">
      <w:pPr>
        <w:spacing w:after="0"/>
      </w:pPr>
      <w:r>
        <w:t xml:space="preserve">IČO: </w:t>
      </w:r>
      <w:r w:rsidRPr="004C4817">
        <w:t>36 442 151</w:t>
      </w:r>
    </w:p>
    <w:p w:rsidR="00B606EF" w:rsidRPr="004C4817" w:rsidRDefault="00B606EF" w:rsidP="004C4817">
      <w:pPr>
        <w:spacing w:after="0"/>
      </w:pPr>
      <w:r>
        <w:t>Bankové spojenie :</w:t>
      </w:r>
      <w:r w:rsidRPr="004C4817">
        <w:t xml:space="preserve"> VÚB, a.s. Žilina, číslo účtu: 2143550551/0200 </w:t>
      </w:r>
    </w:p>
    <w:p w:rsidR="00B606EF" w:rsidRPr="004C4817" w:rsidRDefault="00B606EF" w:rsidP="004C4817">
      <w:pPr>
        <w:spacing w:after="0"/>
      </w:pPr>
      <w:r w:rsidRPr="004C4817">
        <w:t xml:space="preserve">IBAN: SK44 0200 0000 0021 4355 0551 </w:t>
      </w:r>
      <w:r w:rsidRPr="004C4817">
        <w:br/>
        <w:t>BIC: SUBASKBX</w:t>
      </w:r>
    </w:p>
    <w:p w:rsidR="00B606EF" w:rsidRPr="004C4817" w:rsidRDefault="00B606EF" w:rsidP="004C4817">
      <w:pPr>
        <w:spacing w:after="0"/>
      </w:pPr>
      <w:r w:rsidRPr="004C4817">
        <w:t>Akciová spoločnosť je zaregistrovaná v Obchodnom registri Okresného súdu Žilina, oddiel Sa, vložka číslo: 10514/L, deň zápisu 08.04.2006.</w:t>
      </w:r>
    </w:p>
    <w:p w:rsidR="00B606EF" w:rsidRDefault="00B606EF" w:rsidP="004C4817">
      <w:pPr>
        <w:spacing w:after="0"/>
      </w:pPr>
      <w:r w:rsidRPr="004C4817">
        <w:t>Povolenie na distribúciu č. 2007E 0260</w:t>
      </w:r>
    </w:p>
    <w:p w:rsidR="00B606EF" w:rsidRDefault="00B606EF" w:rsidP="008367BD">
      <w:pPr>
        <w:pStyle w:val="Heading1"/>
        <w:numPr>
          <w:ilvl w:val="0"/>
          <w:numId w:val="1"/>
        </w:numPr>
      </w:pPr>
      <w:bookmarkStart w:id="2" w:name="_Toc401990657"/>
      <w:r>
        <w:t>Predmet obstarávania</w:t>
      </w:r>
      <w:bookmarkEnd w:id="2"/>
    </w:p>
    <w:p w:rsidR="00B606EF" w:rsidRDefault="00B606EF" w:rsidP="00DA21C6">
      <w:r>
        <w:t>Uchádzač, ktorý sa chce zúčastniť tejto súťaže, musí predložiť ponuku na všetky nižšie uvedené komponenty a to buď pre technológiu PLC-G3 alebo pre technológiu PLC-PRIME alebo pre obe PLC technológie osobitne :</w:t>
      </w:r>
    </w:p>
    <w:p w:rsidR="00B606EF" w:rsidRPr="00DA21C6" w:rsidRDefault="00B606EF" w:rsidP="00DA21C6"/>
    <w:p w:rsidR="00B606EF" w:rsidRDefault="00B606EF" w:rsidP="003D2C97">
      <w:pPr>
        <w:pStyle w:val="Heading2"/>
        <w:numPr>
          <w:ilvl w:val="1"/>
          <w:numId w:val="1"/>
        </w:numPr>
      </w:pPr>
      <w:bookmarkStart w:id="3" w:name="_Toc401990658"/>
      <w:r>
        <w:t>Technologická  skriňa s univerzálnou montážou, osadená  trojfázovým koncentrátorom PLC  a  príslušenstvom</w:t>
      </w:r>
      <w:bookmarkEnd w:id="3"/>
    </w:p>
    <w:p w:rsidR="00B606EF" w:rsidRDefault="00B606EF" w:rsidP="003D2C97">
      <w:r>
        <w:tab/>
      </w:r>
      <w:r>
        <w:tab/>
        <w:t>Predpokladaný počet  kusov: 2 600</w:t>
      </w:r>
    </w:p>
    <w:p w:rsidR="00B606EF" w:rsidRDefault="00B606EF" w:rsidP="003D2C97"/>
    <w:p w:rsidR="00B606EF" w:rsidRDefault="00B606EF" w:rsidP="00B667FC">
      <w:pPr>
        <w:pStyle w:val="Heading2"/>
        <w:numPr>
          <w:ilvl w:val="1"/>
          <w:numId w:val="1"/>
        </w:numPr>
      </w:pPr>
      <w:r>
        <w:t xml:space="preserve"> </w:t>
      </w:r>
      <w:bookmarkStart w:id="4" w:name="_Toc401990659"/>
      <w:r>
        <w:t>Jednofázový  inteligentný elektromer so základnou funkcionalitou, komunikujúci  modemom  PLC</w:t>
      </w:r>
      <w:bookmarkEnd w:id="4"/>
    </w:p>
    <w:p w:rsidR="00B606EF" w:rsidRDefault="00B606EF" w:rsidP="00B667FC">
      <w:r>
        <w:tab/>
        <w:t>Predpokladaný počet  kusov: 2 600</w:t>
      </w:r>
    </w:p>
    <w:p w:rsidR="00B606EF" w:rsidRDefault="00B606EF" w:rsidP="00B667FC"/>
    <w:p w:rsidR="00B606EF" w:rsidRDefault="00B606EF" w:rsidP="002704E6">
      <w:pPr>
        <w:pStyle w:val="Heading2"/>
        <w:numPr>
          <w:ilvl w:val="1"/>
          <w:numId w:val="1"/>
        </w:numPr>
      </w:pPr>
      <w:r>
        <w:t xml:space="preserve"> </w:t>
      </w:r>
      <w:bookmarkStart w:id="5" w:name="_Toc401990660"/>
      <w:r>
        <w:t>Trojfázový  inteligentný elektromer so základnou funkcionalitou, komunikujúci  modemom  PLC</w:t>
      </w:r>
      <w:bookmarkEnd w:id="5"/>
    </w:p>
    <w:p w:rsidR="00B606EF" w:rsidRDefault="00B606EF" w:rsidP="00B667FC">
      <w:r>
        <w:tab/>
        <w:t>Predpokladaný počet  kusov: 44 200</w:t>
      </w:r>
    </w:p>
    <w:p w:rsidR="00B606EF" w:rsidRDefault="00B606EF" w:rsidP="00B667FC"/>
    <w:p w:rsidR="00B606EF" w:rsidRDefault="00B606EF" w:rsidP="002704E6">
      <w:pPr>
        <w:pStyle w:val="Heading2"/>
        <w:numPr>
          <w:ilvl w:val="1"/>
          <w:numId w:val="1"/>
        </w:numPr>
      </w:pPr>
      <w:r>
        <w:t xml:space="preserve"> </w:t>
      </w:r>
      <w:bookmarkStart w:id="6" w:name="_Toc401990661"/>
      <w:r>
        <w:t>Trojfázový  inteligentný elektromer s pokročilou funkcionalitou s výmenným komunikačným modulom, obsahujúci   modem  PLC</w:t>
      </w:r>
      <w:bookmarkEnd w:id="6"/>
    </w:p>
    <w:p w:rsidR="00B606EF" w:rsidRDefault="00B606EF" w:rsidP="00B667FC">
      <w:r>
        <w:tab/>
        <w:t>Predpokladaný počet  kusov: 9 440</w:t>
      </w:r>
    </w:p>
    <w:p w:rsidR="00B606EF" w:rsidRDefault="00B606EF" w:rsidP="00B667FC"/>
    <w:p w:rsidR="00B606EF" w:rsidRDefault="00B606EF" w:rsidP="002704E6">
      <w:pPr>
        <w:pStyle w:val="Heading2"/>
        <w:numPr>
          <w:ilvl w:val="1"/>
          <w:numId w:val="1"/>
        </w:numPr>
      </w:pPr>
      <w:r>
        <w:t xml:space="preserve"> </w:t>
      </w:r>
      <w:bookmarkStart w:id="7" w:name="_Toc401990662"/>
      <w:r>
        <w:t>Trojfázový  inteligentný elektromer s pokročilou  funkcionalitou pre nepriame meranie  s výmenným komunikačným modulom, obsahujúci   modem  PLC</w:t>
      </w:r>
      <w:bookmarkEnd w:id="7"/>
    </w:p>
    <w:p w:rsidR="00B606EF" w:rsidRDefault="00B606EF" w:rsidP="00B667FC">
      <w:r>
        <w:tab/>
        <w:t>Predpokladaný počet  kusov: 1 440</w:t>
      </w:r>
    </w:p>
    <w:p w:rsidR="00B606EF" w:rsidRDefault="00B606EF" w:rsidP="00B667FC"/>
    <w:p w:rsidR="00B606EF" w:rsidRPr="000761F8" w:rsidRDefault="00B606EF" w:rsidP="00B667FC">
      <w:pPr>
        <w:rPr>
          <w:b/>
        </w:rPr>
      </w:pPr>
      <w:r>
        <w:rPr>
          <w:b/>
        </w:rPr>
        <w:t>Dôležité upozornenia</w:t>
      </w:r>
      <w:r w:rsidRPr="000761F8">
        <w:rPr>
          <w:b/>
        </w:rPr>
        <w:t>:</w:t>
      </w:r>
    </w:p>
    <w:p w:rsidR="00B606EF" w:rsidRDefault="00B606EF" w:rsidP="00AA786A">
      <w:r>
        <w:t>Technické požiadavky na všetky vyššie uvedené elektromery sú uvedené v samostatnom dokumente „Technická špecifikácia pre elektromer IMS“.</w:t>
      </w:r>
    </w:p>
    <w:p w:rsidR="00B606EF" w:rsidRDefault="00B606EF" w:rsidP="00AA786A">
      <w:r>
        <w:t>Minimálna množina požadovaných prenášaných informácií je uvedená v samostatnej tabuľke „Objekty spracovávané elektromerom IMS“.</w:t>
      </w:r>
    </w:p>
    <w:p w:rsidR="00B606EF" w:rsidRDefault="00B606EF" w:rsidP="00366082">
      <w:r>
        <w:t>Obstarávateľ požaduje  5 ročnú záruku na všetky dodané komponenty. V prípade, že v období záruky, množstvo porúch nejakého komponentu prekročí  5%, obstarávateľ bude účtovať dopravné náklady na výmenu  tohto komponentu zo sídla Obstarávateľa na miesto inštalácie a späť v zmysle aktuálneho „</w:t>
      </w:r>
      <w:r w:rsidRPr="00366082">
        <w:rPr>
          <w:b/>
          <w:bCs/>
        </w:rPr>
        <w:t>Cenník</w:t>
      </w:r>
      <w:r>
        <w:rPr>
          <w:b/>
          <w:bCs/>
        </w:rPr>
        <w:t>a</w:t>
      </w:r>
      <w:r w:rsidRPr="00366082">
        <w:rPr>
          <w:b/>
          <w:bCs/>
        </w:rPr>
        <w:t xml:space="preserve"> služieb Stredoslovenská energetika - Distribúcia, a.s.</w:t>
      </w:r>
      <w:r>
        <w:rPr>
          <w:b/>
          <w:bCs/>
        </w:rPr>
        <w:t xml:space="preserve"> </w:t>
      </w:r>
      <w:r w:rsidRPr="00366082">
        <w:rPr>
          <w:b/>
          <w:bCs/>
        </w:rPr>
        <w:t>Fakturačné meranie a Kontrola odberných miest</w:t>
      </w:r>
      <w:r>
        <w:rPr>
          <w:b/>
          <w:bCs/>
        </w:rPr>
        <w:t xml:space="preserve">“ </w:t>
      </w:r>
      <w:r>
        <w:rPr>
          <w:bCs/>
        </w:rPr>
        <w:t xml:space="preserve">položka </w:t>
      </w:r>
      <w:r w:rsidRPr="00366082">
        <w:rPr>
          <w:b/>
          <w:bCs/>
          <w:i/>
          <w:iCs/>
        </w:rPr>
        <w:t>Autodoprava osobná - cena za 1 km</w:t>
      </w:r>
      <w:r>
        <w:t>. V prípade, že v období životnosti od 5 do 12 rokov, množstvo porúch nejakého komponentu prekročí  5%, obstarávateľ bude požadovať bezodplatnú  výmenu takéhoto komponentu  a bude účtovať dopravné náklady na výmenu  tohto komponentu zo sídla Obstarávateľa na miesto inštalácie a späť v zmysle aktuálneho „</w:t>
      </w:r>
      <w:r w:rsidRPr="00366082">
        <w:rPr>
          <w:b/>
          <w:bCs/>
        </w:rPr>
        <w:t>Cenník</w:t>
      </w:r>
      <w:r>
        <w:rPr>
          <w:b/>
          <w:bCs/>
        </w:rPr>
        <w:t>a</w:t>
      </w:r>
      <w:r w:rsidRPr="00366082">
        <w:rPr>
          <w:b/>
          <w:bCs/>
        </w:rPr>
        <w:t xml:space="preserve"> služieb Stredoslovenská energetika - Distribúcia, a.s.</w:t>
      </w:r>
      <w:r>
        <w:rPr>
          <w:b/>
          <w:bCs/>
        </w:rPr>
        <w:t xml:space="preserve"> </w:t>
      </w:r>
      <w:r w:rsidRPr="00366082">
        <w:rPr>
          <w:b/>
          <w:bCs/>
        </w:rPr>
        <w:t>Fakturačné meranie a Kontrola odberných miest</w:t>
      </w:r>
      <w:r>
        <w:rPr>
          <w:b/>
          <w:bCs/>
        </w:rPr>
        <w:t xml:space="preserve">“ </w:t>
      </w:r>
      <w:r>
        <w:rPr>
          <w:bCs/>
        </w:rPr>
        <w:t xml:space="preserve">položka </w:t>
      </w:r>
      <w:r w:rsidRPr="00366082">
        <w:rPr>
          <w:b/>
          <w:bCs/>
          <w:i/>
          <w:iCs/>
        </w:rPr>
        <w:t>Autodoprava osobná - cena za 1 km</w:t>
      </w:r>
      <w:r>
        <w:t>.</w:t>
      </w:r>
    </w:p>
    <w:p w:rsidR="00B606EF" w:rsidRDefault="00B606EF" w:rsidP="00366082">
      <w:r>
        <w:t>Miestom dodávky predmetu obstarávania  a výmeny  komponentov pre záručné a pozáručné opravy je sídlo Obstarávateľa.</w:t>
      </w:r>
    </w:p>
    <w:p w:rsidR="00B606EF" w:rsidRDefault="00B606EF" w:rsidP="00B667FC">
      <w:r>
        <w:t xml:space="preserve"> </w:t>
      </w:r>
    </w:p>
    <w:p w:rsidR="00B606EF" w:rsidRDefault="00B606EF" w:rsidP="002704E6">
      <w:pPr>
        <w:pStyle w:val="Heading1"/>
        <w:numPr>
          <w:ilvl w:val="0"/>
          <w:numId w:val="1"/>
        </w:numPr>
      </w:pPr>
      <w:bookmarkStart w:id="8" w:name="_Toc401990663"/>
      <w:r>
        <w:t>Ciele obstarávania</w:t>
      </w:r>
      <w:bookmarkEnd w:id="8"/>
    </w:p>
    <w:p w:rsidR="00B606EF" w:rsidRPr="00EA453E" w:rsidRDefault="00B606EF" w:rsidP="00EA453E">
      <w:pPr>
        <w:spacing w:after="0"/>
      </w:pPr>
    </w:p>
    <w:p w:rsidR="00B606EF" w:rsidRDefault="00B606EF" w:rsidP="0001795D">
      <w:r>
        <w:t>Hlavným cieľom  Obstarávateľa  je  minimalizovať  všetky náklady vlastníctva (TCO)   predmetu obstarávania  tak, aby bola  v plnom rozsahu zabezpečená  požadovaná  funkčnosť  týchto komponentov , pri dodržaní  vysokej  spoľahlivosti  a stability ich prevádzky.</w:t>
      </w:r>
    </w:p>
    <w:p w:rsidR="00B606EF" w:rsidRDefault="00B606EF" w:rsidP="0001795D">
      <w:r>
        <w:t>Ďalším cieľom obstarávania  je  objektívne a transparentne vyhodnotiť, či skutočne koncentrátorové technológie  PLC sú pre realizáciu IMS efektívnejšie ako implementácia  iných telekomunikačných služieb, poskytovaných na slovenskom trhu a ak áno, tak rozhodnúť ktorá z koncentrátorových technológií PLC</w:t>
      </w:r>
      <w:r w:rsidRPr="004C2DCA">
        <w:t>, pracujúcich v pásme CENELEC A</w:t>
      </w:r>
      <w:r>
        <w:t xml:space="preserve"> (G3 alebo PRIME), sa stane štandardom  Obstarávateľa  v období implementácie IMS v zmysle  „Vyhlášky“.</w:t>
      </w:r>
    </w:p>
    <w:p w:rsidR="00B606EF" w:rsidRDefault="00B606EF" w:rsidP="0001795D">
      <w:r>
        <w:t>V neposlednom rade  cieľom obstarávania je  z dlhodobého hľadiska  garantovať minimálne potrebné množstvo  dodávateľov a  vzájomnú kompatibilitu  ich dodávok tak, aby pri „výpadku“ niektorého z nich neboli ohrozené vynaložené investície Obstarávateľa.</w:t>
      </w:r>
    </w:p>
    <w:p w:rsidR="00B606EF" w:rsidRDefault="00B606EF" w:rsidP="002704E6">
      <w:pPr>
        <w:pStyle w:val="Heading1"/>
        <w:numPr>
          <w:ilvl w:val="0"/>
          <w:numId w:val="1"/>
        </w:numPr>
      </w:pPr>
      <w:bookmarkStart w:id="9" w:name="_Toc401990664"/>
      <w:r>
        <w:t>Funkčné požiadavky na Technologickú skriňu a všeobecné požiadavky na inštalované komponenty</w:t>
      </w:r>
      <w:bookmarkEnd w:id="9"/>
    </w:p>
    <w:p w:rsidR="00B606EF" w:rsidRDefault="00B606EF" w:rsidP="005E1578">
      <w:pPr>
        <w:pStyle w:val="ListParagraph"/>
      </w:pPr>
    </w:p>
    <w:p w:rsidR="00B606EF" w:rsidRDefault="00B606EF" w:rsidP="006502A1">
      <w:pPr>
        <w:pStyle w:val="ListParagraph"/>
        <w:numPr>
          <w:ilvl w:val="0"/>
          <w:numId w:val="10"/>
        </w:numPr>
      </w:pPr>
      <w:r>
        <w:t>Skriňa, univerzálny  závesný  systém a všetky v nej inštalované komponenty musia svojou povrchovou úpravou a konštrukciou  garantovať  životnosť minimálne 15 rokov</w:t>
      </w:r>
    </w:p>
    <w:p w:rsidR="00B606EF" w:rsidRDefault="00B606EF" w:rsidP="006502A1">
      <w:pPr>
        <w:pStyle w:val="ListParagraph"/>
        <w:numPr>
          <w:ilvl w:val="0"/>
          <w:numId w:val="10"/>
        </w:numPr>
      </w:pPr>
      <w:r>
        <w:t>Univerzálny závesný systém skrine musí umožniť jej montáž na stenu,  konštrukciu stožiara   trafostanice alebo stĺp.</w:t>
      </w:r>
    </w:p>
    <w:p w:rsidR="00B606EF" w:rsidRDefault="00B606EF" w:rsidP="006502A1">
      <w:pPr>
        <w:pStyle w:val="ListParagraph"/>
        <w:numPr>
          <w:ilvl w:val="0"/>
          <w:numId w:val="10"/>
        </w:numPr>
      </w:pPr>
      <w:r>
        <w:t>Konštrukcia skrine musí vyhovovať minimálne Bezpečnostnej triede RC 3, pričom otvorenie dverí musí byť elektronicky signalizované buď cez koncentrátor alebo elektromer</w:t>
      </w:r>
    </w:p>
    <w:p w:rsidR="00B606EF" w:rsidRDefault="00B606EF" w:rsidP="006502A1">
      <w:pPr>
        <w:pStyle w:val="ListParagraph"/>
        <w:numPr>
          <w:ilvl w:val="0"/>
          <w:numId w:val="10"/>
        </w:numPr>
      </w:pPr>
      <w:r>
        <w:t>Vonkajšie krytie  IP 65</w:t>
      </w:r>
    </w:p>
    <w:p w:rsidR="00B606EF" w:rsidRDefault="00B606EF" w:rsidP="00AC2ED3">
      <w:pPr>
        <w:pStyle w:val="ListParagraph"/>
        <w:numPr>
          <w:ilvl w:val="0"/>
          <w:numId w:val="10"/>
        </w:numPr>
      </w:pPr>
      <w:r>
        <w:t xml:space="preserve">Uzamykanie skrine  musí byť realizované  </w:t>
      </w:r>
      <w:r w:rsidRPr="00AC2ED3">
        <w:t>uzamykacou vložkou s kľúčom. mul-t-lock 7x7, M1.2</w:t>
      </w:r>
      <w:r>
        <w:t>, používanou v skupine SSE</w:t>
      </w:r>
    </w:p>
    <w:p w:rsidR="00B606EF" w:rsidRPr="001F7B48" w:rsidRDefault="00B606EF" w:rsidP="001F7B48">
      <w:pPr>
        <w:pStyle w:val="ListParagraph"/>
        <w:numPr>
          <w:ilvl w:val="0"/>
          <w:numId w:val="10"/>
        </w:numPr>
      </w:pPr>
      <w:r>
        <w:t xml:space="preserve">Klimatizačný systém skrine nesmie obsahovať pohyblivé časti a musí svojou konštrukciou garantovať  inštalovaným komponentom  štandardné prevádzkové klimatické podmienky pri vonkajších teplotách v rozsahu  od -40 </w:t>
      </w:r>
      <w:r w:rsidRPr="00893E63">
        <w:rPr>
          <w:rFonts w:ascii="Arial" w:hAnsi="Arial"/>
          <w:sz w:val="20"/>
        </w:rPr>
        <w:t>°C</w:t>
      </w:r>
      <w:r>
        <w:rPr>
          <w:rFonts w:ascii="Arial" w:hAnsi="Arial"/>
          <w:sz w:val="20"/>
        </w:rPr>
        <w:t xml:space="preserve"> </w:t>
      </w:r>
      <w:r w:rsidRPr="00AC2ED3">
        <w:t> </w:t>
      </w:r>
      <w:r>
        <w:t xml:space="preserve">do +60 </w:t>
      </w:r>
      <w:r w:rsidRPr="00893E63">
        <w:rPr>
          <w:rFonts w:ascii="Arial" w:hAnsi="Arial"/>
          <w:sz w:val="20"/>
        </w:rPr>
        <w:t>°C</w:t>
      </w:r>
      <w:r>
        <w:rPr>
          <w:rFonts w:ascii="Arial" w:hAnsi="Arial"/>
          <w:sz w:val="20"/>
        </w:rPr>
        <w:t xml:space="preserve"> a vlhkosti  </w:t>
      </w:r>
      <w:r w:rsidRPr="00045A1F">
        <w:rPr>
          <w:rFonts w:ascii="Arial" w:hAnsi="Arial"/>
          <w:sz w:val="20"/>
        </w:rPr>
        <w:t>&lt;= 95 %</w:t>
      </w:r>
      <w:r>
        <w:rPr>
          <w:rFonts w:ascii="Arial" w:hAnsi="Arial"/>
          <w:sz w:val="20"/>
        </w:rPr>
        <w:t>. Prípadný odvod tepla musí byť riešený prestupom. Skriňa musí vyhovovať  minimálne nasledovným štandardom :</w:t>
      </w:r>
    </w:p>
    <w:p w:rsidR="00B606EF" w:rsidRDefault="00B606EF" w:rsidP="001F7B48">
      <w:pPr>
        <w:pStyle w:val="ListParagraph"/>
        <w:numPr>
          <w:ilvl w:val="1"/>
          <w:numId w:val="10"/>
        </w:numPr>
      </w:pPr>
      <w:r w:rsidRPr="001F7B48">
        <w:t>STN EN 60068-2-1</w:t>
      </w:r>
    </w:p>
    <w:p w:rsidR="00B606EF" w:rsidRDefault="00B606EF" w:rsidP="001F7B48">
      <w:pPr>
        <w:pStyle w:val="ListParagraph"/>
        <w:numPr>
          <w:ilvl w:val="1"/>
          <w:numId w:val="10"/>
        </w:numPr>
      </w:pPr>
      <w:r>
        <w:t>STN EN 60068-2-2</w:t>
      </w:r>
    </w:p>
    <w:p w:rsidR="00B606EF" w:rsidRPr="00AC2ED3" w:rsidRDefault="00B606EF" w:rsidP="001F7B48">
      <w:pPr>
        <w:pStyle w:val="ListParagraph"/>
        <w:numPr>
          <w:ilvl w:val="1"/>
          <w:numId w:val="10"/>
        </w:numPr>
      </w:pPr>
      <w:r>
        <w:t>STN EN 60068-2-30</w:t>
      </w:r>
    </w:p>
    <w:p w:rsidR="00B606EF" w:rsidRDefault="00B606EF" w:rsidP="00F8448E">
      <w:pPr>
        <w:pStyle w:val="ListParagraph"/>
        <w:numPr>
          <w:ilvl w:val="0"/>
          <w:numId w:val="10"/>
        </w:numPr>
      </w:pPr>
      <w:r>
        <w:t>Skriňa musí svojim vnútorným priestorom a konštrukciou garantovať  možnosť inštalácie nasledovných komponentov : </w:t>
      </w:r>
    </w:p>
    <w:p w:rsidR="00B606EF" w:rsidRDefault="00B606EF" w:rsidP="00AF715C">
      <w:pPr>
        <w:pStyle w:val="ListParagraph"/>
        <w:numPr>
          <w:ilvl w:val="1"/>
          <w:numId w:val="10"/>
        </w:numPr>
      </w:pPr>
      <w:r>
        <w:t> Trojfázový koncentrátor PLC (súčasť dodávky)</w:t>
      </w:r>
    </w:p>
    <w:p w:rsidR="00B606EF" w:rsidRDefault="00B606EF" w:rsidP="00AF715C">
      <w:pPr>
        <w:pStyle w:val="ListParagraph"/>
        <w:numPr>
          <w:ilvl w:val="1"/>
          <w:numId w:val="10"/>
        </w:numPr>
      </w:pPr>
      <w:r>
        <w:t> Telemechanika, komunikujúca protokolom IEC 60870-5-104,  na snímanie minimálne šiestich signálov,  s dvoma programovateľnými binárnymi výstupmi, schopnými spínať   230 V AC. Vstupy telemechaniky  musia byť schopné snímať   dverový bezpečnostný kontakt a kontakt  snímača signalizujúceho  prekročenie  minimálnej alebo maximálnej vnútornej teploty v skrini.  Ďalšie 4 vstupy  budú ako rezerva pre ďalšie použitie (súčasť dodávky).</w:t>
      </w:r>
    </w:p>
    <w:p w:rsidR="00B606EF" w:rsidRDefault="00B606EF" w:rsidP="00AF715C">
      <w:pPr>
        <w:pStyle w:val="ListParagraph"/>
        <w:numPr>
          <w:ilvl w:val="1"/>
          <w:numId w:val="10"/>
        </w:numPr>
      </w:pPr>
      <w:r>
        <w:t xml:space="preserve"> Napájač  pre nezávislú telemechaniku (súčasť dodávky). </w:t>
      </w:r>
    </w:p>
    <w:p w:rsidR="00B606EF" w:rsidRPr="00C91137" w:rsidRDefault="00B606EF" w:rsidP="00925666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shd w:val="clear" w:color="auto" w:fill="FFFFFF"/>
        </w:rPr>
      </w:pPr>
      <w:r>
        <w:t xml:space="preserve"> Externý router s modemom  GPRS/EDGE,3G (UMTS/HSPA)  alebo xDLS, s maximálnymi rozmermi </w:t>
      </w:r>
      <w:r w:rsidRPr="00925666">
        <w:t>200mm x 250mm x 50mm</w:t>
      </w:r>
      <w:r>
        <w:t xml:space="preserve">, napájaním 230 V AC,  príkonom maximálne 30 VA a </w:t>
      </w:r>
      <w:r>
        <w:rPr>
          <w:rStyle w:val="apple-converted-space"/>
          <w:rFonts w:cs="Arial"/>
          <w:shd w:val="clear" w:color="auto" w:fill="FFFFFF"/>
        </w:rPr>
        <w:t>prevádzkovou teplotou</w:t>
      </w:r>
      <w:r w:rsidRPr="00762D62">
        <w:rPr>
          <w:rStyle w:val="apple-converted-space"/>
          <w:rFonts w:cs="Arial"/>
          <w:shd w:val="clear" w:color="auto" w:fill="FFFFFF"/>
        </w:rPr>
        <w:t xml:space="preserve">  od -15 do 65 °C</w:t>
      </w:r>
      <w:r>
        <w:t xml:space="preserve">  (nie je súčasťou dodávky)</w:t>
      </w:r>
    </w:p>
    <w:p w:rsidR="00B606EF" w:rsidRPr="00C91137" w:rsidRDefault="00B606EF" w:rsidP="00C91137">
      <w:pPr>
        <w:pStyle w:val="ListParagraph"/>
        <w:numPr>
          <w:ilvl w:val="1"/>
          <w:numId w:val="25"/>
        </w:numPr>
        <w:spacing w:after="0" w:line="240" w:lineRule="auto"/>
        <w:rPr>
          <w:rFonts w:ascii="Arial" w:hAnsi="Arial" w:cs="Arial"/>
          <w:shd w:val="clear" w:color="auto" w:fill="FFFFFF"/>
        </w:rPr>
      </w:pPr>
      <w:r>
        <w:t> Z</w:t>
      </w:r>
      <w:r w:rsidRPr="00C91137">
        <w:t xml:space="preserve">droj </w:t>
      </w:r>
      <w:r>
        <w:t xml:space="preserve"> 230 V AC pre externý </w:t>
      </w:r>
      <w:r w:rsidRPr="00C22563">
        <w:rPr>
          <w:lang w:val="en-US"/>
        </w:rPr>
        <w:t>router</w:t>
      </w:r>
      <w:r>
        <w:t xml:space="preserve"> s maximálnymi rozmermi  </w:t>
      </w:r>
      <w:r w:rsidRPr="00C91137">
        <w:t>100mm x 100mm x 30 mm</w:t>
      </w:r>
      <w:r>
        <w:t xml:space="preserve"> (nie je súčasťou dodávky)</w:t>
      </w:r>
    </w:p>
    <w:p w:rsidR="00B606EF" w:rsidRDefault="00B606EF" w:rsidP="008D197D">
      <w:pPr>
        <w:pStyle w:val="ListParagraph"/>
        <w:numPr>
          <w:ilvl w:val="1"/>
          <w:numId w:val="10"/>
        </w:numPr>
      </w:pPr>
      <w:r>
        <w:t> Štandardná zásuvka s istením pre z</w:t>
      </w:r>
      <w:r w:rsidRPr="00C91137">
        <w:t xml:space="preserve">droj </w:t>
      </w:r>
      <w:r>
        <w:t xml:space="preserve"> 230 V AC pre externý </w:t>
      </w:r>
      <w:r w:rsidRPr="00C22563">
        <w:rPr>
          <w:lang w:val="en-US"/>
        </w:rPr>
        <w:t>router</w:t>
      </w:r>
      <w:r>
        <w:t xml:space="preserve"> (súčasť dodávky)</w:t>
      </w:r>
    </w:p>
    <w:p w:rsidR="00B606EF" w:rsidRPr="00C91137" w:rsidRDefault="00B606EF" w:rsidP="0031692E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hd w:val="clear" w:color="auto" w:fill="FFFFFF"/>
        </w:rPr>
      </w:pPr>
      <w:r>
        <w:t xml:space="preserve"> Konvertor rozhrania služby FTTH, s maximálnymi rozmermi </w:t>
      </w:r>
      <w:r w:rsidRPr="00925666">
        <w:t>200mm x 250mm x 50mm</w:t>
      </w:r>
      <w:r>
        <w:t xml:space="preserve">, napájaním 230 V AC,  príkonom maximálne 30 VA a </w:t>
      </w:r>
      <w:r>
        <w:rPr>
          <w:rStyle w:val="apple-converted-space"/>
          <w:rFonts w:cs="Arial"/>
          <w:shd w:val="clear" w:color="auto" w:fill="FFFFFF"/>
        </w:rPr>
        <w:t>prevádzkovou teplotou</w:t>
      </w:r>
      <w:r w:rsidRPr="00762D62">
        <w:rPr>
          <w:rStyle w:val="apple-converted-space"/>
          <w:rFonts w:cs="Arial"/>
          <w:shd w:val="clear" w:color="auto" w:fill="FFFFFF"/>
        </w:rPr>
        <w:t xml:space="preserve">  od -15 do 65 °C</w:t>
      </w:r>
      <w:r>
        <w:t xml:space="preserve">  (nie je súčasťou dodávky)</w:t>
      </w:r>
    </w:p>
    <w:p w:rsidR="00B606EF" w:rsidRPr="00C91137" w:rsidRDefault="00B606EF" w:rsidP="0031692E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hd w:val="clear" w:color="auto" w:fill="FFFFFF"/>
        </w:rPr>
      </w:pPr>
      <w:r>
        <w:t> Z</w:t>
      </w:r>
      <w:r w:rsidRPr="00C91137">
        <w:t xml:space="preserve">droj </w:t>
      </w:r>
      <w:r>
        <w:t xml:space="preserve"> 230 V AC pre konvertor rozhrania služby FTTH s maximálnymi rozmermi  </w:t>
      </w:r>
      <w:r w:rsidRPr="00C91137">
        <w:t>100mm x 100mm x 30 mm</w:t>
      </w:r>
      <w:r>
        <w:t xml:space="preserve"> (nie je súčasťou dodávky)</w:t>
      </w:r>
    </w:p>
    <w:p w:rsidR="00B606EF" w:rsidRDefault="00B606EF" w:rsidP="0031692E">
      <w:pPr>
        <w:pStyle w:val="ListParagraph"/>
        <w:numPr>
          <w:ilvl w:val="1"/>
          <w:numId w:val="10"/>
        </w:numPr>
      </w:pPr>
      <w:r>
        <w:t> Štandardná zásuvka s istením pre z</w:t>
      </w:r>
      <w:r w:rsidRPr="00C91137">
        <w:t xml:space="preserve">droj </w:t>
      </w:r>
      <w:r>
        <w:t xml:space="preserve"> 230 V AC pre konvertor rozhrania služby FTTH (súčasť dodávky)</w:t>
      </w:r>
    </w:p>
    <w:p w:rsidR="00B606EF" w:rsidRDefault="00B606EF" w:rsidP="008D197D">
      <w:pPr>
        <w:pStyle w:val="ListParagraph"/>
        <w:numPr>
          <w:ilvl w:val="1"/>
          <w:numId w:val="10"/>
        </w:numPr>
      </w:pPr>
      <w:r>
        <w:t> Prachotesná a vodotesná priechodka pre dátový optický resp.  metalický  kábel, umožňujúca pripojenie kábla uloženého v ochrannej trubke (súčasť dodávky)</w:t>
      </w:r>
    </w:p>
    <w:p w:rsidR="00B606EF" w:rsidRDefault="00B606EF" w:rsidP="008D197D">
      <w:pPr>
        <w:pStyle w:val="ListParagraph"/>
        <w:numPr>
          <w:ilvl w:val="1"/>
          <w:numId w:val="10"/>
        </w:numPr>
      </w:pPr>
      <w:r>
        <w:t> svorkovnica pre pripojenie  ochranného a pracovného uzemnenia a  troch fázových vodičov  pre trojfázovú sústavu 3x230/400 V , 50 Hz. Tieto vodiče, rozmnožením na ďalšie svorky, musia umožniť jednak napájanie  všetkých inštalovaných zariadení, ako aj komunikáciu PLC (súčasť dodávky)</w:t>
      </w:r>
    </w:p>
    <w:p w:rsidR="00B606EF" w:rsidRDefault="00B606EF" w:rsidP="008D197D">
      <w:pPr>
        <w:pStyle w:val="ListParagraph"/>
        <w:numPr>
          <w:ilvl w:val="1"/>
          <w:numId w:val="10"/>
        </w:numPr>
      </w:pPr>
      <w:r>
        <w:t> Prachotesná a vodotesná priechodka pre  5 vodičový napájací kábel, umožňujúca pripojenie kábla uloženého v ochrannej trubke  (súčasť dodávky)</w:t>
      </w:r>
    </w:p>
    <w:p w:rsidR="00B606EF" w:rsidRDefault="00B606EF" w:rsidP="008D197D">
      <w:pPr>
        <w:pStyle w:val="ListParagraph"/>
        <w:numPr>
          <w:ilvl w:val="1"/>
          <w:numId w:val="10"/>
        </w:numPr>
      </w:pPr>
      <w:r>
        <w:t>Prachotesné a vodotesné priechodky pre 2 externé antény s minimálne dvojmetrovým anténnym prívodom v ochrannej plastovej trubke (súčasť dodávky)</w:t>
      </w:r>
    </w:p>
    <w:p w:rsidR="00B606EF" w:rsidRDefault="00B606EF" w:rsidP="008D197D">
      <w:pPr>
        <w:pStyle w:val="ListParagraph"/>
        <w:numPr>
          <w:ilvl w:val="1"/>
          <w:numId w:val="10"/>
        </w:numPr>
      </w:pPr>
      <w:r>
        <w:t> napájacích zdrojov s istením pre všetky vyššie uvedené zariadenia, ak sú potrebné (súčasť dodávky)</w:t>
      </w:r>
    </w:p>
    <w:p w:rsidR="00B606EF" w:rsidRDefault="00B606EF" w:rsidP="006C384C">
      <w:pPr>
        <w:pStyle w:val="ListParagraph"/>
        <w:numPr>
          <w:ilvl w:val="0"/>
          <w:numId w:val="10"/>
        </w:numPr>
      </w:pPr>
      <w:r>
        <w:t>Skriňa a všetky v nej inštalované komponenty musia svojou konštrukciou  garantovať  elektromagnetickú kompatibilitu (EMC) v zmysle nasledovných noriem :</w:t>
      </w:r>
    </w:p>
    <w:p w:rsidR="00B606EF" w:rsidRPr="00635052" w:rsidRDefault="00B606EF" w:rsidP="00635052">
      <w:pPr>
        <w:pStyle w:val="ListParagraph"/>
        <w:numPr>
          <w:ilvl w:val="1"/>
          <w:numId w:val="10"/>
        </w:numPr>
      </w:pPr>
      <w:r w:rsidRPr="00D74995">
        <w:rPr>
          <w:rFonts w:ascii="Arial" w:hAnsi="Arial"/>
          <w:sz w:val="20"/>
        </w:rPr>
        <w:t>IEC 61000-4-2</w:t>
      </w:r>
      <w:r>
        <w:rPr>
          <w:rFonts w:ascii="Arial" w:hAnsi="Arial"/>
          <w:sz w:val="20"/>
        </w:rPr>
        <w:t xml:space="preserve"> </w:t>
      </w:r>
      <w:r w:rsidRPr="00D74995">
        <w:rPr>
          <w:rFonts w:ascii="Arial" w:hAnsi="Arial"/>
          <w:sz w:val="20"/>
        </w:rPr>
        <w:t>odolnosť voči elektrostatickým výbojom</w:t>
      </w:r>
    </w:p>
    <w:p w:rsidR="00B606EF" w:rsidRPr="00635052" w:rsidRDefault="00B606EF" w:rsidP="00635052">
      <w:pPr>
        <w:pStyle w:val="ListParagraph"/>
        <w:numPr>
          <w:ilvl w:val="1"/>
          <w:numId w:val="10"/>
        </w:numPr>
      </w:pPr>
      <w:r w:rsidRPr="00D74995">
        <w:rPr>
          <w:rFonts w:ascii="Arial" w:hAnsi="Arial"/>
          <w:sz w:val="20"/>
        </w:rPr>
        <w:t>IEC 61000-4-3</w:t>
      </w:r>
      <w:r>
        <w:rPr>
          <w:rFonts w:ascii="Arial" w:hAnsi="Arial"/>
          <w:sz w:val="20"/>
        </w:rPr>
        <w:t xml:space="preserve"> </w:t>
      </w:r>
      <w:r w:rsidRPr="00D74995">
        <w:rPr>
          <w:rFonts w:ascii="Arial" w:hAnsi="Arial"/>
          <w:sz w:val="20"/>
        </w:rPr>
        <w:t>odolnosť voči vysokofrekvenčným elektromagnetickým poliam</w:t>
      </w:r>
    </w:p>
    <w:p w:rsidR="00B606EF" w:rsidRPr="00635052" w:rsidRDefault="00B606EF" w:rsidP="00635052">
      <w:pPr>
        <w:pStyle w:val="ListParagraph"/>
        <w:numPr>
          <w:ilvl w:val="1"/>
          <w:numId w:val="10"/>
        </w:numPr>
      </w:pPr>
      <w:r>
        <w:rPr>
          <w:rFonts w:ascii="Arial" w:hAnsi="Arial"/>
          <w:sz w:val="20"/>
        </w:rPr>
        <w:t xml:space="preserve">IEC 61000-4-4 </w:t>
      </w:r>
      <w:r w:rsidRPr="00D74995">
        <w:rPr>
          <w:rFonts w:ascii="Arial" w:hAnsi="Arial"/>
          <w:sz w:val="20"/>
        </w:rPr>
        <w:t>odolnosť pred rýchlym prechodovými javmi</w:t>
      </w:r>
    </w:p>
    <w:p w:rsidR="00B606EF" w:rsidRPr="00635052" w:rsidRDefault="00B606EF" w:rsidP="00635052">
      <w:pPr>
        <w:pStyle w:val="ListParagraph"/>
        <w:numPr>
          <w:ilvl w:val="1"/>
          <w:numId w:val="10"/>
        </w:numPr>
      </w:pPr>
      <w:r w:rsidRPr="00D74995">
        <w:rPr>
          <w:rFonts w:ascii="Arial" w:hAnsi="Arial"/>
          <w:sz w:val="20"/>
        </w:rPr>
        <w:t>IEC 61000-4-5</w:t>
      </w:r>
      <w:r>
        <w:rPr>
          <w:rFonts w:ascii="Arial" w:hAnsi="Arial"/>
          <w:sz w:val="20"/>
        </w:rPr>
        <w:t xml:space="preserve"> </w:t>
      </w:r>
      <w:r w:rsidRPr="00D74995">
        <w:rPr>
          <w:rFonts w:ascii="Arial" w:hAnsi="Arial"/>
          <w:sz w:val="20"/>
        </w:rPr>
        <w:t>odolnosť</w:t>
      </w:r>
      <w:r>
        <w:rPr>
          <w:rFonts w:ascii="Arial" w:hAnsi="Arial"/>
          <w:sz w:val="20"/>
        </w:rPr>
        <w:t xml:space="preserve"> voči</w:t>
      </w:r>
      <w:r w:rsidRPr="00D74995">
        <w:rPr>
          <w:rFonts w:ascii="Arial" w:hAnsi="Arial"/>
          <w:sz w:val="20"/>
        </w:rPr>
        <w:t xml:space="preserve"> rázovým impulzom</w:t>
      </w:r>
    </w:p>
    <w:p w:rsidR="00B606EF" w:rsidRPr="001F7E77" w:rsidRDefault="00B606EF" w:rsidP="00635052">
      <w:pPr>
        <w:pStyle w:val="ListParagraph"/>
        <w:numPr>
          <w:ilvl w:val="1"/>
          <w:numId w:val="10"/>
        </w:numPr>
      </w:pPr>
      <w:r>
        <w:rPr>
          <w:rFonts w:ascii="Arial" w:hAnsi="Arial"/>
          <w:sz w:val="20"/>
        </w:rPr>
        <w:t xml:space="preserve">IEC 61000-4-6 </w:t>
      </w:r>
      <w:r w:rsidRPr="00D74995">
        <w:rPr>
          <w:rFonts w:ascii="Arial" w:hAnsi="Arial"/>
          <w:sz w:val="20"/>
        </w:rPr>
        <w:t>odolnosť voči poruchám indu</w:t>
      </w:r>
      <w:r>
        <w:rPr>
          <w:rFonts w:ascii="Arial" w:hAnsi="Arial"/>
          <w:sz w:val="20"/>
        </w:rPr>
        <w:t>kovaných vysokofrekvenčnými poľ</w:t>
      </w:r>
      <w:r w:rsidRPr="00D74995">
        <w:rPr>
          <w:rFonts w:ascii="Arial" w:hAnsi="Arial"/>
          <w:sz w:val="20"/>
        </w:rPr>
        <w:t>ami</w:t>
      </w:r>
    </w:p>
    <w:p w:rsidR="00B606EF" w:rsidRPr="006502A1" w:rsidRDefault="00B606EF" w:rsidP="00635052">
      <w:pPr>
        <w:pStyle w:val="ListParagraph"/>
        <w:numPr>
          <w:ilvl w:val="1"/>
          <w:numId w:val="10"/>
        </w:numPr>
      </w:pPr>
      <w:r>
        <w:rPr>
          <w:rFonts w:ascii="Arial" w:hAnsi="Arial"/>
          <w:sz w:val="20"/>
        </w:rPr>
        <w:t>IEC 61000-4-8 odolnosť voči magnetickému poľu pri sieťovej frekvencii</w:t>
      </w:r>
    </w:p>
    <w:p w:rsidR="00B606EF" w:rsidRPr="007E3E11" w:rsidRDefault="00B606EF" w:rsidP="00635052">
      <w:pPr>
        <w:pStyle w:val="ListParagraph"/>
        <w:numPr>
          <w:ilvl w:val="1"/>
          <w:numId w:val="10"/>
        </w:numPr>
      </w:pPr>
      <w:r>
        <w:rPr>
          <w:rFonts w:ascii="Arial" w:hAnsi="Arial"/>
          <w:sz w:val="20"/>
        </w:rPr>
        <w:t>IEC 61000-4-11 odolnosť voči krátkodobým poklesom napätia a krátkym prerušeniam a kolísaniam napätia</w:t>
      </w:r>
    </w:p>
    <w:p w:rsidR="00B606EF" w:rsidRPr="006502A1" w:rsidRDefault="00B606EF" w:rsidP="007E3E11">
      <w:pPr>
        <w:pStyle w:val="ListParagraph"/>
        <w:numPr>
          <w:ilvl w:val="1"/>
          <w:numId w:val="10"/>
        </w:numPr>
      </w:pPr>
      <w:r>
        <w:rPr>
          <w:rFonts w:ascii="Arial" w:hAnsi="Arial"/>
          <w:sz w:val="20"/>
        </w:rPr>
        <w:t>IEC 61000-4-12 odolnosť voči</w:t>
      </w:r>
      <w:r w:rsidRPr="00D74995">
        <w:rPr>
          <w:rFonts w:ascii="Arial" w:hAnsi="Arial"/>
          <w:sz w:val="20"/>
        </w:rPr>
        <w:t xml:space="preserve"> tlmeným</w:t>
      </w:r>
      <w:r>
        <w:rPr>
          <w:rFonts w:ascii="Arial" w:hAnsi="Arial"/>
          <w:sz w:val="20"/>
        </w:rPr>
        <w:t xml:space="preserve"> oscilačným</w:t>
      </w:r>
      <w:r w:rsidRPr="00D74995">
        <w:rPr>
          <w:rFonts w:ascii="Arial" w:hAnsi="Arial"/>
          <w:sz w:val="20"/>
        </w:rPr>
        <w:t xml:space="preserve"> vlnám</w:t>
      </w:r>
    </w:p>
    <w:p w:rsidR="00B606EF" w:rsidRPr="002938C6" w:rsidRDefault="00B606EF" w:rsidP="00635052">
      <w:pPr>
        <w:pStyle w:val="ListParagraph"/>
        <w:numPr>
          <w:ilvl w:val="1"/>
          <w:numId w:val="10"/>
        </w:numPr>
      </w:pPr>
      <w:r w:rsidRPr="00D74995">
        <w:rPr>
          <w:rFonts w:ascii="Arial" w:hAnsi="Arial"/>
          <w:sz w:val="20"/>
        </w:rPr>
        <w:t>CISPR 22</w:t>
      </w:r>
      <w:r>
        <w:rPr>
          <w:rFonts w:ascii="Arial" w:hAnsi="Arial"/>
          <w:sz w:val="20"/>
        </w:rPr>
        <w:t xml:space="preserve"> odolnosť voči</w:t>
      </w:r>
      <w:r w:rsidRPr="00D74995">
        <w:rPr>
          <w:rFonts w:ascii="Arial" w:hAnsi="Arial"/>
          <w:sz w:val="20"/>
        </w:rPr>
        <w:t xml:space="preserve"> rádiovému rušeniu</w:t>
      </w:r>
    </w:p>
    <w:p w:rsidR="00B606EF" w:rsidRPr="002938C6" w:rsidRDefault="00B606EF" w:rsidP="002938C6">
      <w:pPr>
        <w:pStyle w:val="ListParagraph"/>
        <w:numPr>
          <w:ilvl w:val="0"/>
          <w:numId w:val="10"/>
        </w:numPr>
      </w:pPr>
      <w:r>
        <w:rPr>
          <w:rFonts w:ascii="Arial" w:hAnsi="Arial"/>
          <w:sz w:val="20"/>
        </w:rPr>
        <w:t>Vo vnútornej časti skrine musí byť viditeľne umiestnený, Obstarávateľom schválený, Typový štítok v národnom jazyku s nasledovnými údajmi :</w:t>
      </w:r>
    </w:p>
    <w:p w:rsidR="00B606EF" w:rsidRDefault="00B606EF" w:rsidP="002938C6">
      <w:pPr>
        <w:pStyle w:val="ListParagraph"/>
        <w:numPr>
          <w:ilvl w:val="1"/>
          <w:numId w:val="10"/>
        </w:numPr>
      </w:pPr>
      <w:r w:rsidRPr="002938C6">
        <w:t>názov alebo obchodná značka výrobcu, miesto výroby</w:t>
      </w:r>
    </w:p>
    <w:p w:rsidR="00B606EF" w:rsidRDefault="00B606EF" w:rsidP="002938C6">
      <w:pPr>
        <w:pStyle w:val="ListParagraph"/>
        <w:numPr>
          <w:ilvl w:val="1"/>
          <w:numId w:val="10"/>
        </w:numPr>
      </w:pPr>
      <w:r>
        <w:t xml:space="preserve">znak CE </w:t>
      </w:r>
    </w:p>
    <w:p w:rsidR="00B606EF" w:rsidRDefault="00B606EF" w:rsidP="002938C6">
      <w:pPr>
        <w:pStyle w:val="ListParagraph"/>
        <w:numPr>
          <w:ilvl w:val="1"/>
          <w:numId w:val="10"/>
        </w:numPr>
      </w:pPr>
      <w:r>
        <w:t> logo SSE-D, a.s.</w:t>
      </w:r>
    </w:p>
    <w:p w:rsidR="00B606EF" w:rsidRDefault="00B606EF" w:rsidP="00411AE2">
      <w:pPr>
        <w:pStyle w:val="ListParagraph"/>
        <w:numPr>
          <w:ilvl w:val="1"/>
          <w:numId w:val="10"/>
        </w:numPr>
      </w:pPr>
      <w:r>
        <w:t> výrobné číslo a dátum výroby</w:t>
      </w:r>
    </w:p>
    <w:p w:rsidR="00B606EF" w:rsidRDefault="00B606EF" w:rsidP="00411AE2">
      <w:pPr>
        <w:pStyle w:val="ListParagraph"/>
        <w:numPr>
          <w:ilvl w:val="1"/>
          <w:numId w:val="10"/>
        </w:numPr>
      </w:pPr>
      <w:r>
        <w:t>referenčné napätie podľa jedného z vzorcov podľa STN EN 62052-11</w:t>
      </w:r>
    </w:p>
    <w:p w:rsidR="00B606EF" w:rsidRDefault="00B606EF" w:rsidP="002938C6">
      <w:pPr>
        <w:pStyle w:val="ListParagraph"/>
        <w:numPr>
          <w:ilvl w:val="1"/>
          <w:numId w:val="10"/>
        </w:numPr>
      </w:pPr>
      <w:r>
        <w:t> referenčná teplota</w:t>
      </w:r>
    </w:p>
    <w:p w:rsidR="00B606EF" w:rsidRDefault="00B606EF" w:rsidP="002938C6">
      <w:pPr>
        <w:pStyle w:val="ListParagraph"/>
        <w:numPr>
          <w:ilvl w:val="1"/>
          <w:numId w:val="10"/>
        </w:numPr>
      </w:pPr>
      <w:r>
        <w:t> značka krytia</w:t>
      </w:r>
    </w:p>
    <w:p w:rsidR="00B606EF" w:rsidRDefault="00B606EF" w:rsidP="002938C6">
      <w:pPr>
        <w:pStyle w:val="ListParagraph"/>
        <w:numPr>
          <w:ilvl w:val="1"/>
          <w:numId w:val="10"/>
        </w:numPr>
      </w:pPr>
      <w:r>
        <w:t> značka  Bezpečnostnej triedy</w:t>
      </w:r>
    </w:p>
    <w:p w:rsidR="00B606EF" w:rsidRPr="00762D62" w:rsidRDefault="00B606EF" w:rsidP="00411AE2">
      <w:pPr>
        <w:pStyle w:val="ListParagraph"/>
        <w:numPr>
          <w:ilvl w:val="0"/>
          <w:numId w:val="10"/>
        </w:numPr>
      </w:pPr>
      <w:r>
        <w:rPr>
          <w:rFonts w:ascii="Arial" w:hAnsi="Arial"/>
          <w:sz w:val="20"/>
        </w:rPr>
        <w:t>Na vnútornej strane dverí skrine musí byť umiestnená bloková schéma všetkých nainštalovaných komponentov s ich popisom, ako aj s popisom svorkovnice na pripojenie napájacieho kábla a popisom spôsobu pripojenia dátových káblov (ak sú použité)</w:t>
      </w:r>
    </w:p>
    <w:p w:rsidR="00B606EF" w:rsidRPr="00762D62" w:rsidRDefault="00B606EF" w:rsidP="00411AE2">
      <w:pPr>
        <w:pStyle w:val="ListParagraph"/>
        <w:numPr>
          <w:ilvl w:val="0"/>
          <w:numId w:val="10"/>
        </w:numPr>
      </w:pPr>
      <w:r>
        <w:rPr>
          <w:rFonts w:ascii="Arial" w:hAnsi="Arial"/>
          <w:sz w:val="20"/>
        </w:rPr>
        <w:t>Na vonkajšej strane dverí sa musí dať umiestniť štítok s identifikačným číslom skrine v rámci skupiny SSE</w:t>
      </w:r>
    </w:p>
    <w:p w:rsidR="00B606EF" w:rsidRPr="0061178A" w:rsidRDefault="00B606EF" w:rsidP="00411AE2">
      <w:pPr>
        <w:pStyle w:val="ListParagraph"/>
        <w:numPr>
          <w:ilvl w:val="0"/>
          <w:numId w:val="10"/>
        </w:numPr>
      </w:pPr>
      <w:r>
        <w:rPr>
          <w:rFonts w:ascii="Arial" w:hAnsi="Arial"/>
          <w:sz w:val="20"/>
        </w:rPr>
        <w:t>Na vonkajšej strane skrine musí byť prístupný „Uzemňovací bod“</w:t>
      </w:r>
    </w:p>
    <w:p w:rsidR="00B606EF" w:rsidRPr="005D0332" w:rsidRDefault="00B606EF" w:rsidP="00411AE2">
      <w:pPr>
        <w:pStyle w:val="ListParagraph"/>
        <w:numPr>
          <w:ilvl w:val="0"/>
          <w:numId w:val="10"/>
        </w:numPr>
      </w:pPr>
      <w:r>
        <w:rPr>
          <w:rFonts w:ascii="Arial" w:hAnsi="Arial"/>
          <w:sz w:val="20"/>
        </w:rPr>
        <w:t>Káble v skrini musia byť označené</w:t>
      </w:r>
    </w:p>
    <w:p w:rsidR="00B606EF" w:rsidRPr="00F62526" w:rsidRDefault="00B606EF" w:rsidP="00F62526">
      <w:pPr>
        <w:pStyle w:val="Heading1"/>
        <w:numPr>
          <w:ilvl w:val="0"/>
          <w:numId w:val="1"/>
        </w:numPr>
      </w:pPr>
      <w:bookmarkStart w:id="10" w:name="_Toc401990665"/>
      <w:r>
        <w:t>Alternatívy pripojenia  Koncentrátora PLC na Centrálu IMS</w:t>
      </w:r>
      <w:bookmarkEnd w:id="10"/>
      <w:r>
        <w:t xml:space="preserve"> </w:t>
      </w:r>
    </w:p>
    <w:p w:rsidR="00B606EF" w:rsidRDefault="00B606EF" w:rsidP="00F62526">
      <w:pPr>
        <w:spacing w:after="0"/>
        <w:ind w:left="360"/>
      </w:pPr>
    </w:p>
    <w:p w:rsidR="00B606EF" w:rsidRDefault="00B606EF" w:rsidP="00F62526">
      <w:pPr>
        <w:spacing w:after="0"/>
        <w:ind w:left="360"/>
      </w:pPr>
      <w:r>
        <w:t>Nasledovné komponenty zabezpečí Obstarávateľ, nie sú súčasťou dodávky:</w:t>
      </w:r>
    </w:p>
    <w:p w:rsidR="00B606EF" w:rsidRDefault="00B606EF" w:rsidP="00F62526">
      <w:pPr>
        <w:pStyle w:val="ListParagraph"/>
        <w:numPr>
          <w:ilvl w:val="0"/>
          <w:numId w:val="9"/>
        </w:numPr>
        <w:spacing w:after="0"/>
      </w:pPr>
      <w:r>
        <w:t>Router-switch s Modemom  GPRS/EDGE/3G (UMTS/HSPA)</w:t>
      </w:r>
    </w:p>
    <w:p w:rsidR="00B606EF" w:rsidRDefault="00B606EF" w:rsidP="005D0332">
      <w:pPr>
        <w:pStyle w:val="ListParagraph"/>
        <w:numPr>
          <w:ilvl w:val="0"/>
          <w:numId w:val="9"/>
        </w:numPr>
        <w:spacing w:after="0"/>
      </w:pPr>
      <w:r>
        <w:t>Router-switch s Modemom  xDSL pripojený metalickým  alebo optickým káblom</w:t>
      </w:r>
    </w:p>
    <w:p w:rsidR="00B606EF" w:rsidRDefault="00B606EF" w:rsidP="005D0332">
      <w:pPr>
        <w:pStyle w:val="ListParagraph"/>
        <w:numPr>
          <w:ilvl w:val="0"/>
          <w:numId w:val="9"/>
        </w:numPr>
        <w:spacing w:after="0"/>
      </w:pPr>
      <w:r>
        <w:t>Router-switch pripojený cez optický  alebo metalický kábel s prepínaným  ethernetom</w:t>
      </w:r>
    </w:p>
    <w:p w:rsidR="00B606EF" w:rsidRDefault="00B606EF" w:rsidP="005D0332">
      <w:pPr>
        <w:pStyle w:val="ListParagraph"/>
        <w:numPr>
          <w:ilvl w:val="0"/>
          <w:numId w:val="9"/>
        </w:numPr>
        <w:spacing w:after="0"/>
      </w:pPr>
      <w:r>
        <w:t>Konvertor rozhrania služby FTTH</w:t>
      </w:r>
    </w:p>
    <w:p w:rsidR="00B606EF" w:rsidRDefault="00B606EF" w:rsidP="00796E39">
      <w:pPr>
        <w:spacing w:after="0"/>
      </w:pPr>
    </w:p>
    <w:p w:rsidR="00B606EF" w:rsidRDefault="00B606EF" w:rsidP="00796E39">
      <w:pPr>
        <w:spacing w:after="0"/>
      </w:pPr>
      <w:r>
        <w:t xml:space="preserve">Maximálne rozmery : </w:t>
      </w:r>
      <w:r w:rsidRPr="00925666">
        <w:t>200mm x 250mm x 50mm</w:t>
      </w:r>
      <w:r>
        <w:t xml:space="preserve">   </w:t>
      </w:r>
    </w:p>
    <w:p w:rsidR="00B606EF" w:rsidRDefault="00B606EF" w:rsidP="00796E39">
      <w:pPr>
        <w:spacing w:after="0"/>
      </w:pPr>
      <w:r>
        <w:t>Maximálny príkon:  30 VA</w:t>
      </w:r>
    </w:p>
    <w:p w:rsidR="00B606EF" w:rsidRDefault="00B606EF" w:rsidP="00796E39">
      <w:pPr>
        <w:spacing w:after="0"/>
      </w:pPr>
      <w:r>
        <w:t xml:space="preserve">Prevádzková teplota : </w:t>
      </w:r>
      <w:r w:rsidRPr="00762D62">
        <w:rPr>
          <w:rStyle w:val="apple-converted-space"/>
          <w:rFonts w:cs="Arial"/>
          <w:shd w:val="clear" w:color="auto" w:fill="FFFFFF"/>
        </w:rPr>
        <w:t xml:space="preserve"> od -15 do 65 °C</w:t>
      </w:r>
      <w:r>
        <w:t xml:space="preserve">  </w:t>
      </w:r>
    </w:p>
    <w:p w:rsidR="00B606EF" w:rsidRDefault="00B606EF" w:rsidP="00796E39">
      <w:pPr>
        <w:spacing w:after="0"/>
      </w:pPr>
    </w:p>
    <w:p w:rsidR="00B606EF" w:rsidRDefault="00B606EF" w:rsidP="00796E39">
      <w:pPr>
        <w:spacing w:after="0"/>
      </w:pPr>
      <w:r>
        <w:t xml:space="preserve">Maximálne rozmery zdroja 230 V AC: </w:t>
      </w:r>
      <w:r w:rsidRPr="00C91137">
        <w:t>100mm x 100mm x 30</w:t>
      </w:r>
      <w:r>
        <w:t>mm</w:t>
      </w:r>
    </w:p>
    <w:p w:rsidR="00B606EF" w:rsidRDefault="00B606EF" w:rsidP="002704E6">
      <w:pPr>
        <w:pStyle w:val="Heading1"/>
        <w:numPr>
          <w:ilvl w:val="0"/>
          <w:numId w:val="1"/>
        </w:numPr>
      </w:pPr>
      <w:bookmarkStart w:id="11" w:name="_Toc401990666"/>
      <w:r>
        <w:t>Funkčné požiadavky na Koncentrátor PLC (G3 alebo PRIME)</w:t>
      </w:r>
      <w:bookmarkEnd w:id="11"/>
    </w:p>
    <w:p w:rsidR="00B606EF" w:rsidRDefault="00B606EF" w:rsidP="00EA453E">
      <w:pPr>
        <w:spacing w:after="0"/>
      </w:pPr>
    </w:p>
    <w:p w:rsidR="00B606EF" w:rsidRDefault="00B606EF" w:rsidP="00971083">
      <w:pPr>
        <w:pStyle w:val="ListParagraph"/>
        <w:numPr>
          <w:ilvl w:val="0"/>
          <w:numId w:val="9"/>
        </w:numPr>
        <w:spacing w:after="0"/>
      </w:pPr>
      <w:r>
        <w:t>Konštrukcia všetkých častí zariadenia, vrátane batérií (ak sú použité), musí zaručovať  životnosť minimálne 15 rokov a musí vyhovovať požiadavkám, ktoré stanovuje  „Vyhláška“</w:t>
      </w:r>
    </w:p>
    <w:p w:rsidR="00B606EF" w:rsidRDefault="00B606EF" w:rsidP="00F96764">
      <w:pPr>
        <w:pStyle w:val="ListParagraph"/>
        <w:numPr>
          <w:ilvl w:val="0"/>
          <w:numId w:val="9"/>
        </w:numPr>
        <w:spacing w:after="0"/>
      </w:pPr>
      <w:r>
        <w:t>Zariadenie nesmie obsahovať  žiadne mechanicky pohyblivé časti</w:t>
      </w:r>
    </w:p>
    <w:p w:rsidR="00B606EF" w:rsidRDefault="00B606EF" w:rsidP="00F96764">
      <w:pPr>
        <w:pStyle w:val="ListParagraph"/>
        <w:numPr>
          <w:ilvl w:val="0"/>
          <w:numId w:val="9"/>
        </w:numPr>
        <w:spacing w:after="0"/>
      </w:pPr>
      <w:r>
        <w:t>Kryt  zariadenia musí umožňovať plombovanie na detekciu neoprávneného otvorenia</w:t>
      </w:r>
    </w:p>
    <w:p w:rsidR="00B606EF" w:rsidRDefault="00B606EF" w:rsidP="00F96764">
      <w:pPr>
        <w:pStyle w:val="ListParagraph"/>
        <w:numPr>
          <w:ilvl w:val="0"/>
          <w:numId w:val="9"/>
        </w:numPr>
        <w:spacing w:after="0"/>
      </w:pPr>
      <w:r>
        <w:t>Vnútorná časová základňa zariadenia musí mať možnosť  byť  synchronizovaná z nakonfigurovaného NTP servera a jej  stabilita pri výpadku synchronizácie alebo napájania musí byť lepšia ako 5 ppm</w:t>
      </w:r>
    </w:p>
    <w:p w:rsidR="00B606EF" w:rsidRDefault="00B606EF" w:rsidP="00F96764">
      <w:pPr>
        <w:pStyle w:val="ListParagraph"/>
        <w:numPr>
          <w:ilvl w:val="0"/>
          <w:numId w:val="9"/>
        </w:numPr>
        <w:spacing w:after="0"/>
      </w:pPr>
      <w:r>
        <w:t>Aspoň jedno rozhranie zariadenia musí umožňovať lokálnu konfiguráciu a lokálny monitoring činnosti zariadenia nezávisle od komunikácie na Centrálu IMS resp. komunikácie PLC</w:t>
      </w:r>
    </w:p>
    <w:p w:rsidR="00B606EF" w:rsidRDefault="00B606EF" w:rsidP="00F96764">
      <w:pPr>
        <w:pStyle w:val="ListParagraph"/>
        <w:numPr>
          <w:ilvl w:val="0"/>
          <w:numId w:val="9"/>
        </w:numPr>
        <w:spacing w:after="0"/>
      </w:pPr>
      <w:r>
        <w:t xml:space="preserve">Lokálna alebo  diaľková  konfigurácia zariadenia musí byť  chránená minimálne 8 znakovým heslom, pričom znaky  musia byť  buď číslicami alebo písmenami anglickej abecedy, prípadne ich kombináciou </w:t>
      </w:r>
    </w:p>
    <w:p w:rsidR="00B606EF" w:rsidRDefault="00B606EF" w:rsidP="00F96764">
      <w:pPr>
        <w:pStyle w:val="ListParagraph"/>
        <w:numPr>
          <w:ilvl w:val="0"/>
          <w:numId w:val="9"/>
        </w:numPr>
        <w:spacing w:after="0"/>
      </w:pPr>
      <w:r>
        <w:t>Zariadenie si musí uchovať  svoju konfiguráciu  aj v beznapäťovom  stave</w:t>
      </w:r>
    </w:p>
    <w:p w:rsidR="00B606EF" w:rsidRDefault="00B606EF" w:rsidP="00807C40">
      <w:pPr>
        <w:spacing w:after="0"/>
        <w:ind w:left="360"/>
      </w:pPr>
    </w:p>
    <w:p w:rsidR="00B606EF" w:rsidRDefault="00B606EF" w:rsidP="00C45333">
      <w:pPr>
        <w:pStyle w:val="ListParagraph"/>
        <w:numPr>
          <w:ilvl w:val="0"/>
          <w:numId w:val="9"/>
        </w:numPr>
        <w:spacing w:after="0"/>
      </w:pPr>
      <w:r>
        <w:t xml:space="preserve">Iba pre koncentrátor PLC-G3: Aspoň jedno rozhranie zariadenia musí mať  schopnosť  vykonávať  funkcie  „PAN Coordinator“  pri komunikácii s minimálne 600 určenými meradlami  prostredníctvom PLC v zmysle špecifikácií  definovaných  G3 Alliance , cez trojfázovú sústavu 3x230/400 V , 50 Hz  v tolerancii </w:t>
      </w:r>
      <w:r>
        <w:rPr>
          <w:rFonts w:ascii="Arial" w:hAnsi="Arial"/>
          <w:sz w:val="20"/>
        </w:rPr>
        <w:t>+/- 15 % rozptylu týchto parametrov</w:t>
      </w:r>
    </w:p>
    <w:p w:rsidR="00B606EF" w:rsidRDefault="00B606EF" w:rsidP="00C45333">
      <w:pPr>
        <w:pStyle w:val="ListParagraph"/>
        <w:spacing w:after="0"/>
      </w:pPr>
    </w:p>
    <w:p w:rsidR="00B606EF" w:rsidRPr="00807C40" w:rsidRDefault="00B606EF" w:rsidP="00F96764">
      <w:pPr>
        <w:pStyle w:val="ListParagraph"/>
        <w:numPr>
          <w:ilvl w:val="0"/>
          <w:numId w:val="9"/>
        </w:numPr>
        <w:spacing w:after="0"/>
      </w:pPr>
      <w:r>
        <w:t xml:space="preserve">Iba pre koncentrátor PLC-PRIME: Aspoň jedno rozhranie zariadenia musí mať  schopnosť  vykonávať  funkcie  „Base Node“  pri komunikácii s minimálne 600 určenými meradlami  prostredníctvom PLC v zmysle špecifikácií  definovaných  PRIME Alliance , cez trojfázovú sústavu 3x230/400 V , 50 Hz  v tolerancii </w:t>
      </w:r>
      <w:r>
        <w:rPr>
          <w:rFonts w:ascii="Arial" w:hAnsi="Arial"/>
          <w:sz w:val="20"/>
        </w:rPr>
        <w:t>+/- 15 % rozptylu týchto parametrov</w:t>
      </w:r>
    </w:p>
    <w:p w:rsidR="00B606EF" w:rsidRDefault="00B606EF" w:rsidP="00807C40">
      <w:pPr>
        <w:pStyle w:val="ListParagraph"/>
      </w:pPr>
    </w:p>
    <w:p w:rsidR="00B606EF" w:rsidRDefault="00B606EF" w:rsidP="00807C40">
      <w:pPr>
        <w:spacing w:after="0"/>
        <w:ind w:left="360"/>
      </w:pPr>
    </w:p>
    <w:p w:rsidR="00B606EF" w:rsidRPr="00FC6E11" w:rsidRDefault="00B606EF" w:rsidP="00F96764">
      <w:pPr>
        <w:pStyle w:val="ListParagraph"/>
        <w:numPr>
          <w:ilvl w:val="0"/>
          <w:numId w:val="9"/>
        </w:numPr>
        <w:spacing w:after="0"/>
      </w:pPr>
      <w:r>
        <w:t xml:space="preserve">Aspoň jedno rozhranie </w:t>
      </w:r>
      <w:r w:rsidRPr="00AC2400">
        <w:t>zariadenia</w:t>
      </w:r>
      <w:r>
        <w:t xml:space="preserve"> musí buď priamo, alebo prostredníctvom externého router-switch s modemom (minimálne pre GPRS/HSPDA (3G</w:t>
      </w:r>
      <w:r>
        <w:rPr>
          <w:lang w:val="en-US"/>
        </w:rPr>
        <w:t>)</w:t>
      </w:r>
      <w:r>
        <w:t xml:space="preserve"> a xDSL), prípadne konvertora rozhrania,   umožniť  minimálne dvom nezávislým Centrálam  komunikovať  s minimálne 600 určenými meradlami, pripojenými cez PLC  a to  paketovou sieťou  na báze protokolu  IPv4  v zmysle štandardov  IEC 62056-5-3, IEC 62056-6-1, IEC 62056-6-2, IEC 62056-9-7, IEC 62056-47, rešpektujúcich  univerzálny komunikačný model  DLMS/COSEM a to buď priamo, alebo prostredníctvom „WEB </w:t>
      </w:r>
      <w:r w:rsidRPr="004A0E5B">
        <w:rPr>
          <w:lang w:val="en-US"/>
        </w:rPr>
        <w:t>Services</w:t>
      </w:r>
      <w:r>
        <w:rPr>
          <w:lang w:val="en-US"/>
        </w:rPr>
        <w:t>”</w:t>
      </w:r>
    </w:p>
    <w:p w:rsidR="00B606EF" w:rsidRPr="00FC6E11" w:rsidRDefault="00B606EF" w:rsidP="00F96764">
      <w:pPr>
        <w:pStyle w:val="ListParagraph"/>
        <w:numPr>
          <w:ilvl w:val="0"/>
          <w:numId w:val="9"/>
        </w:numPr>
        <w:spacing w:after="0"/>
      </w:pPr>
      <w:r w:rsidRPr="00FC6E11">
        <w:t>Samostatne</w:t>
      </w:r>
      <w:r>
        <w:t>, podľa vopred nakonfigurovaného programu, zbierať a ukladať profily a registre všetkých pripojených určených meradiel s kapacitou pre minimálne 10 ostatných dní</w:t>
      </w:r>
    </w:p>
    <w:p w:rsidR="00B606EF" w:rsidRDefault="00B606EF" w:rsidP="00F96764">
      <w:pPr>
        <w:pStyle w:val="ListParagraph"/>
        <w:numPr>
          <w:ilvl w:val="0"/>
          <w:numId w:val="9"/>
        </w:numPr>
        <w:spacing w:after="0"/>
      </w:pPr>
      <w:r>
        <w:t>Logovať  mimoriadne udalosti  s dôrazom na bezpečnostné incidenty, ako aj výpadky a obnovenie komunikácií na všetkých komunikačných rozhraniach s možnosťou diaľkového stiahnutia logovacieho súboru</w:t>
      </w:r>
    </w:p>
    <w:p w:rsidR="00B606EF" w:rsidRDefault="00B606EF" w:rsidP="00F96764">
      <w:pPr>
        <w:pStyle w:val="ListParagraph"/>
        <w:numPr>
          <w:ilvl w:val="0"/>
          <w:numId w:val="9"/>
        </w:numPr>
        <w:spacing w:after="0"/>
      </w:pPr>
      <w:r>
        <w:t xml:space="preserve">Koncentrátor musí byť schopný spracovať  signalizáciu z telemechaniky na snímanie dverového bezpečnostného kontaktu a kontaktu  snímača signalizujúceho  prekročenie  minimálnej alebo maximálnej vnútornej teploty a zmeny stavov týchto signálov vyslať kompatibilným spôsobom do Centrály IMS. Alternatívou je použitie protokolu IEC 60870-5-104. </w:t>
      </w:r>
    </w:p>
    <w:p w:rsidR="00B606EF" w:rsidRDefault="00B606EF" w:rsidP="00F96764">
      <w:pPr>
        <w:pStyle w:val="ListParagraph"/>
        <w:numPr>
          <w:ilvl w:val="0"/>
          <w:numId w:val="9"/>
        </w:numPr>
        <w:spacing w:after="0"/>
      </w:pPr>
      <w:r>
        <w:t>Umožniť vzdialený reštart činnosti zariadenia</w:t>
      </w:r>
    </w:p>
    <w:p w:rsidR="00B606EF" w:rsidRDefault="00B606EF" w:rsidP="00F96764">
      <w:pPr>
        <w:pStyle w:val="ListParagraph"/>
        <w:numPr>
          <w:ilvl w:val="0"/>
          <w:numId w:val="9"/>
        </w:numPr>
        <w:spacing w:after="0"/>
      </w:pPr>
      <w:r>
        <w:t>Činnosť  zariadenia musí byť kontrolovaná nezávislou automatikou „</w:t>
      </w:r>
      <w:r w:rsidRPr="001F7B48">
        <w:rPr>
          <w:lang w:val="en-US"/>
        </w:rPr>
        <w:t>Watchdog</w:t>
      </w:r>
      <w:r>
        <w:t>“</w:t>
      </w:r>
    </w:p>
    <w:p w:rsidR="00B606EF" w:rsidRDefault="00B606EF" w:rsidP="00FC6E11">
      <w:pPr>
        <w:pStyle w:val="ListParagraph"/>
        <w:numPr>
          <w:ilvl w:val="0"/>
          <w:numId w:val="9"/>
        </w:numPr>
        <w:spacing w:after="0"/>
      </w:pPr>
      <w:r>
        <w:t>Po obnovení napájania automaticky začať  vykonávať vyššie uvedené  komunikačné funkcie</w:t>
      </w:r>
    </w:p>
    <w:p w:rsidR="00B606EF" w:rsidRDefault="00B606EF" w:rsidP="00FC6E11">
      <w:pPr>
        <w:pStyle w:val="ListParagraph"/>
        <w:numPr>
          <w:ilvl w:val="0"/>
          <w:numId w:val="9"/>
        </w:numPr>
        <w:spacing w:after="0"/>
      </w:pPr>
      <w:r>
        <w:t>Súčasťou dodávky musí byť aj programové vybavenie na PC, umožňujúce lokálnu a diaľkovú konfiguráciu zariadenia, upgrade firmware a monitoring činnosti zariadenia s licenčným pokrytím pre minimálne 10 pracovníkov skupiny SSE</w:t>
      </w:r>
    </w:p>
    <w:p w:rsidR="00B606EF" w:rsidRDefault="00B606EF" w:rsidP="00FC6E11">
      <w:pPr>
        <w:pStyle w:val="ListParagraph"/>
        <w:numPr>
          <w:ilvl w:val="0"/>
          <w:numId w:val="9"/>
        </w:numPr>
        <w:spacing w:after="0"/>
      </w:pPr>
      <w:r>
        <w:t>Súčasťou dodávky musí byť aj programové vybavenie na PC pre 10 pracovníkov skupiny SSE, umožňujúce diaľkové nezávislé stiahnutie uložených dát z koncentrátora a ich konverziu do štruktúrovaného textového súboru</w:t>
      </w:r>
    </w:p>
    <w:p w:rsidR="00B606EF" w:rsidRDefault="00B606EF" w:rsidP="002704E6">
      <w:pPr>
        <w:pStyle w:val="Heading1"/>
        <w:numPr>
          <w:ilvl w:val="0"/>
          <w:numId w:val="1"/>
        </w:numPr>
      </w:pPr>
      <w:bookmarkStart w:id="12" w:name="_Toc401990667"/>
      <w:r>
        <w:t>Uchádzač pri prihlásení sa do súťaže musí poskytnúť :</w:t>
      </w:r>
      <w:bookmarkEnd w:id="12"/>
    </w:p>
    <w:p w:rsidR="00B606EF" w:rsidRDefault="00B606EF" w:rsidP="00874AB4"/>
    <w:p w:rsidR="00B606EF" w:rsidRDefault="00B606EF" w:rsidP="00874AB4">
      <w:pPr>
        <w:pStyle w:val="ListParagraph"/>
        <w:numPr>
          <w:ilvl w:val="0"/>
          <w:numId w:val="9"/>
        </w:numPr>
        <w:spacing w:after="0"/>
      </w:pPr>
      <w:r>
        <w:t>Zoznam všetkých elektromerov s PLC rozhraním, ktoré je možné plnohodnotne obsluhovať ponúkaným koncentrátorom</w:t>
      </w:r>
    </w:p>
    <w:p w:rsidR="00B606EF" w:rsidRDefault="00B606EF" w:rsidP="00874AB4">
      <w:pPr>
        <w:pStyle w:val="ListParagraph"/>
        <w:numPr>
          <w:ilvl w:val="0"/>
          <w:numId w:val="9"/>
        </w:numPr>
        <w:spacing w:after="0"/>
      </w:pPr>
      <w:r>
        <w:t xml:space="preserve">Kompletnú dokumentáciu komunikačného protokolu, použitého na komunikáciu medzi koncentrátorom a Head-End  systémom </w:t>
      </w:r>
    </w:p>
    <w:p w:rsidR="00B606EF" w:rsidRDefault="00B606EF" w:rsidP="00874AB4">
      <w:pPr>
        <w:pStyle w:val="ListParagraph"/>
        <w:numPr>
          <w:ilvl w:val="0"/>
          <w:numId w:val="9"/>
        </w:numPr>
        <w:spacing w:after="0"/>
      </w:pPr>
      <w:r>
        <w:t>Kompletnú dokumentáciu komunikačného protokolu, použitého na komunikáciu medzi koncentrátorom a elektromermi</w:t>
      </w:r>
    </w:p>
    <w:p w:rsidR="00B606EF" w:rsidRDefault="00B606EF" w:rsidP="00874AB4">
      <w:pPr>
        <w:pStyle w:val="ListParagraph"/>
        <w:numPr>
          <w:ilvl w:val="0"/>
          <w:numId w:val="9"/>
        </w:numPr>
        <w:spacing w:after="0"/>
      </w:pPr>
      <w:r>
        <w:t>Funkčnú vzorku koncentrátora s kompletnou technickou a administrátorskou dokumentáciou, vrátane  nevyhnutného  programového vybavenia na PC pre 10 pracovníkov skupiny SSE, umožňujúceho jeho konfiguráciu, oživenie a monitorovanie jeho prevádzkovej činnosti ako aj  nezávislé stiahnutie uložených dát z koncentrátora a ich konverziu do štruktúrovaného textového súboru. Toto programové vybavenie  musí umožniť aj diaľkovú konfiguráciu elektromerov,</w:t>
      </w:r>
      <w:r w:rsidRPr="00873A86">
        <w:t xml:space="preserve"> </w:t>
      </w:r>
      <w:r>
        <w:t>pripojených ku koncentrátoru.</w:t>
      </w:r>
    </w:p>
    <w:p w:rsidR="00B606EF" w:rsidRDefault="00B606EF" w:rsidP="00874AB4">
      <w:pPr>
        <w:pStyle w:val="ListParagraph"/>
        <w:numPr>
          <w:ilvl w:val="0"/>
          <w:numId w:val="9"/>
        </w:numPr>
        <w:spacing w:after="0"/>
      </w:pPr>
      <w:r>
        <w:t>Vzorku 2 ks  elektromera pre každý predmet obstarávania, definovaný v 2.2. až 2.5. tohto dokumentu</w:t>
      </w:r>
    </w:p>
    <w:p w:rsidR="00B606EF" w:rsidRDefault="00B606EF" w:rsidP="000F29B0">
      <w:pPr>
        <w:pStyle w:val="ListParagraph"/>
        <w:numPr>
          <w:ilvl w:val="0"/>
          <w:numId w:val="9"/>
        </w:numPr>
        <w:spacing w:after="0"/>
      </w:pPr>
      <w:r>
        <w:t>Programové vybavenie na PC pre 10 pracovníkov skupiny SSE, umožňujúce konfiguráciu elektromerov  cez  lokálne rozhranie.</w:t>
      </w:r>
    </w:p>
    <w:p w:rsidR="00B606EF" w:rsidRPr="00873A86" w:rsidRDefault="00B606EF" w:rsidP="000F29B0">
      <w:pPr>
        <w:pStyle w:val="ListParagraph"/>
        <w:numPr>
          <w:ilvl w:val="0"/>
          <w:numId w:val="9"/>
        </w:numPr>
        <w:spacing w:after="0"/>
      </w:pPr>
      <w:r>
        <w:t xml:space="preserve"> Vzorku predmetu obstarávania definovanú v  2.1.  tohto dokumentu s vlastným typom uzamykania skrine, bez Typového štítka v národnom jazyku a vonkajšieho štítka s identifikačným číslom </w:t>
      </w:r>
      <w:r>
        <w:rPr>
          <w:rFonts w:ascii="Arial" w:hAnsi="Arial"/>
          <w:sz w:val="20"/>
        </w:rPr>
        <w:t>skrine v rámci skupiny SSE</w:t>
      </w:r>
    </w:p>
    <w:p w:rsidR="00B606EF" w:rsidRDefault="00B606EF" w:rsidP="00873A86">
      <w:pPr>
        <w:pStyle w:val="ListParagraph"/>
        <w:numPr>
          <w:ilvl w:val="0"/>
          <w:numId w:val="10"/>
        </w:numPr>
        <w:spacing w:after="0"/>
      </w:pPr>
      <w:r>
        <w:t>Zoznam a popis programového vybavenia, ktoré umožní  realizovať  akceptačné testy v zmysle dokumentu „</w:t>
      </w:r>
      <w:r w:rsidRPr="0014002E">
        <w:rPr>
          <w:b/>
        </w:rPr>
        <w:t>Postupy pre akceptačné   testy PLC koncentrátorov a elektromerov  IMS</w:t>
      </w:r>
      <w:r>
        <w:t>“</w:t>
      </w:r>
    </w:p>
    <w:p w:rsidR="00B606EF" w:rsidRDefault="00B606EF" w:rsidP="00873A86">
      <w:pPr>
        <w:pStyle w:val="ListParagraph"/>
        <w:ind w:left="360"/>
      </w:pPr>
    </w:p>
    <w:p w:rsidR="00B606EF" w:rsidRDefault="00B606EF" w:rsidP="006351A4">
      <w:pPr>
        <w:pStyle w:val="ListParagraph"/>
        <w:spacing w:after="0"/>
      </w:pPr>
    </w:p>
    <w:p w:rsidR="00B606EF" w:rsidRPr="00874AB4" w:rsidRDefault="00B606EF" w:rsidP="00874AB4"/>
    <w:p w:rsidR="00B606EF" w:rsidRDefault="00B606EF" w:rsidP="002704E6">
      <w:pPr>
        <w:pStyle w:val="Heading1"/>
        <w:numPr>
          <w:ilvl w:val="0"/>
          <w:numId w:val="1"/>
        </w:numPr>
      </w:pPr>
      <w:bookmarkStart w:id="13" w:name="_Toc401990668"/>
      <w:r>
        <w:t>Postup testovania predmetu obstarávania</w:t>
      </w:r>
      <w:bookmarkEnd w:id="13"/>
    </w:p>
    <w:p w:rsidR="00B606EF" w:rsidRDefault="00B606EF" w:rsidP="00EC0F74">
      <w:pPr>
        <w:pStyle w:val="ListParagraph"/>
      </w:pPr>
    </w:p>
    <w:p w:rsidR="00B606EF" w:rsidRDefault="00B606EF" w:rsidP="000164E5">
      <w:pPr>
        <w:pStyle w:val="ListParagraph"/>
        <w:numPr>
          <w:ilvl w:val="0"/>
          <w:numId w:val="26"/>
        </w:numPr>
      </w:pPr>
      <w:r>
        <w:t>Uchádzači predložia zariadenia, programové vybavenie a dokumentáciu definovanú v 7. tohto dokumentu</w:t>
      </w:r>
    </w:p>
    <w:p w:rsidR="00B606EF" w:rsidRDefault="00B606EF" w:rsidP="006351A4">
      <w:pPr>
        <w:pStyle w:val="ListParagraph"/>
        <w:numPr>
          <w:ilvl w:val="0"/>
          <w:numId w:val="26"/>
        </w:numPr>
      </w:pPr>
      <w:r>
        <w:t>Obstarávateľ  formálne prekontroluje úplnosť ponuky</w:t>
      </w:r>
    </w:p>
    <w:p w:rsidR="00B606EF" w:rsidRDefault="00B606EF" w:rsidP="006351A4">
      <w:pPr>
        <w:pStyle w:val="ListParagraph"/>
        <w:numPr>
          <w:ilvl w:val="0"/>
          <w:numId w:val="26"/>
        </w:numPr>
      </w:pPr>
      <w:r>
        <w:t xml:space="preserve">Vzorky elektromerov budú podrobené  overeniu presnosti   v skúšobni  SSE – Metrológia, s.r.o. V prípade, že vzorky nevyhovejú požadovanej presnosti, ich Dodávateľ bude zo súťaže vylúčený. </w:t>
      </w:r>
    </w:p>
    <w:p w:rsidR="00B606EF" w:rsidRDefault="00B606EF" w:rsidP="006351A4">
      <w:pPr>
        <w:pStyle w:val="ListParagraph"/>
        <w:numPr>
          <w:ilvl w:val="0"/>
          <w:numId w:val="26"/>
        </w:numPr>
      </w:pPr>
      <w:r>
        <w:t>Pomocou elektronickej aukcie Obstarávateľ zostaví poradie uchádzačov  a s prvými  troma  v každej kategórii (PLC-G3, PLC-PRIME) uzavrie „Rámcovú dohodu“ v rámci ktorej budú vykonané akceptačné testy v zmysle dokumentu „</w:t>
      </w:r>
      <w:r w:rsidRPr="0014002E">
        <w:rPr>
          <w:b/>
        </w:rPr>
        <w:t>Postupy pre akceptačné   testy PLC koncentrátorov a elektromerov  IMS</w:t>
      </w:r>
      <w:r>
        <w:t>“</w:t>
      </w:r>
    </w:p>
    <w:p w:rsidR="00B606EF" w:rsidRDefault="00B606EF" w:rsidP="0014002E">
      <w:pPr>
        <w:pStyle w:val="ListParagraph"/>
        <w:ind w:left="1440"/>
      </w:pPr>
    </w:p>
    <w:p w:rsidR="00B606EF" w:rsidRDefault="00B606EF" w:rsidP="000B1218">
      <w:pPr>
        <w:ind w:left="720"/>
      </w:pPr>
    </w:p>
    <w:p w:rsidR="00B606EF" w:rsidRDefault="00B606EF" w:rsidP="00FC6E11">
      <w:pPr>
        <w:pStyle w:val="ListParagraph"/>
        <w:jc w:val="right"/>
      </w:pPr>
      <w:r>
        <w:object w:dxaOrig="12594" w:dyaOrig="10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374.25pt" o:ole="">
            <v:imagedata r:id="rId7" o:title=""/>
          </v:shape>
          <o:OLEObject Type="Embed" ProgID="Visio.Drawing.11" ShapeID="_x0000_i1025" DrawAspect="Content" ObjectID="_1475732598" r:id="rId8"/>
        </w:object>
      </w:r>
      <w:r>
        <w:t xml:space="preserve"> </w:t>
      </w:r>
    </w:p>
    <w:p w:rsidR="00B606EF" w:rsidRPr="00273A7A" w:rsidRDefault="00B606EF" w:rsidP="00FC6E11">
      <w:pPr>
        <w:pStyle w:val="ListParagraph"/>
        <w:jc w:val="right"/>
      </w:pPr>
      <w:r>
        <w:t>Obr. č.1.:Priebeh záveru akceptačných testov</w:t>
      </w:r>
    </w:p>
    <w:sectPr w:rsidR="00B606EF" w:rsidRPr="00273A7A" w:rsidSect="005544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EF" w:rsidRDefault="00B606EF" w:rsidP="005C7502">
      <w:pPr>
        <w:spacing w:after="0" w:line="240" w:lineRule="auto"/>
      </w:pPr>
      <w:r>
        <w:separator/>
      </w:r>
    </w:p>
  </w:endnote>
  <w:endnote w:type="continuationSeparator" w:id="0">
    <w:p w:rsidR="00B606EF" w:rsidRDefault="00B606EF" w:rsidP="005C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EF" w:rsidRDefault="00B606EF" w:rsidP="00F44812">
    <w:pPr>
      <w:pStyle w:val="Footer"/>
      <w:ind w:left="720"/>
      <w:jc w:val="center"/>
    </w:pPr>
    <w: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8</w:t>
    </w:r>
    <w:r>
      <w:rPr>
        <w:b/>
      </w:rPr>
      <w:fldChar w:fldCharType="end"/>
    </w:r>
    <w:r>
      <w:t xml:space="preserve"> / </w:t>
    </w:r>
    <w:fldSimple w:instr="NUMPAGES  \* Arabic  \* MERGEFORMAT">
      <w:r>
        <w:rPr>
          <w:b/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EF" w:rsidRDefault="00B606EF" w:rsidP="005C7502">
      <w:pPr>
        <w:spacing w:after="0" w:line="240" w:lineRule="auto"/>
      </w:pPr>
      <w:r>
        <w:separator/>
      </w:r>
    </w:p>
  </w:footnote>
  <w:footnote w:type="continuationSeparator" w:id="0">
    <w:p w:rsidR="00B606EF" w:rsidRDefault="00B606EF" w:rsidP="005C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EF" w:rsidRDefault="00B606EF" w:rsidP="00F44812">
    <w:pPr>
      <w:jc w:val="right"/>
    </w:pPr>
    <w:r>
      <w:t>V Žiline dňa 25.10.2014 spracoval : Ing. Milan Valjašek</w:t>
    </w:r>
  </w:p>
  <w:p w:rsidR="00B606EF" w:rsidRDefault="00B606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C4F"/>
    <w:multiLevelType w:val="hybridMultilevel"/>
    <w:tmpl w:val="6DFCC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3EA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7234212"/>
    <w:multiLevelType w:val="hybridMultilevel"/>
    <w:tmpl w:val="A920C1A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E0802"/>
    <w:multiLevelType w:val="hybridMultilevel"/>
    <w:tmpl w:val="1A6270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E5686"/>
    <w:multiLevelType w:val="hybridMultilevel"/>
    <w:tmpl w:val="55CE2C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A972B3"/>
    <w:multiLevelType w:val="hybridMultilevel"/>
    <w:tmpl w:val="8B9ECA58"/>
    <w:lvl w:ilvl="0" w:tplc="2FFA16E2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B3288CCA">
      <w:start w:val="1"/>
      <w:numFmt w:val="bullet"/>
      <w:pStyle w:val="Formatvorlage3"/>
      <w:lvlText w:val=""/>
      <w:lvlJc w:val="left"/>
      <w:pPr>
        <w:tabs>
          <w:tab w:val="num" w:pos="2575"/>
        </w:tabs>
        <w:ind w:left="2555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6">
    <w:nsid w:val="27AB1005"/>
    <w:multiLevelType w:val="hybridMultilevel"/>
    <w:tmpl w:val="7B8653EA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9C7667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0102023"/>
    <w:multiLevelType w:val="hybridMultilevel"/>
    <w:tmpl w:val="55CE2CD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05486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2E378D1"/>
    <w:multiLevelType w:val="hybridMultilevel"/>
    <w:tmpl w:val="C678A0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A05BF1"/>
    <w:multiLevelType w:val="hybridMultilevel"/>
    <w:tmpl w:val="0C94FD0E"/>
    <w:lvl w:ilvl="0" w:tplc="4DB0AFF2">
      <w:start w:val="1"/>
      <w:numFmt w:val="decimal"/>
      <w:pStyle w:val="Heading2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C9028C7"/>
    <w:multiLevelType w:val="hybridMultilevel"/>
    <w:tmpl w:val="9FFCF6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4903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B9F5F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FFB091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89C33C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FB57AE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FE80A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4154450"/>
    <w:multiLevelType w:val="hybridMultilevel"/>
    <w:tmpl w:val="DB389A10"/>
    <w:lvl w:ilvl="0" w:tplc="6422E85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D714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80A6C9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9905249"/>
    <w:multiLevelType w:val="hybridMultilevel"/>
    <w:tmpl w:val="0A8299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8641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FF072B2"/>
    <w:multiLevelType w:val="hybridMultilevel"/>
    <w:tmpl w:val="AE86F126"/>
    <w:lvl w:ilvl="0" w:tplc="2FFA16E2">
      <w:start w:val="1"/>
      <w:numFmt w:val="bullet"/>
      <w:lvlText w:val=""/>
      <w:lvlJc w:val="left"/>
      <w:pPr>
        <w:tabs>
          <w:tab w:val="num" w:pos="1419"/>
        </w:tabs>
        <w:ind w:left="1419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12"/>
  </w:num>
  <w:num w:numId="7">
    <w:abstractNumId w:val="15"/>
    <w:lvlOverride w:ilvl="0">
      <w:startOverride w:val="1"/>
    </w:lvlOverride>
  </w:num>
  <w:num w:numId="8">
    <w:abstractNumId w:val="11"/>
  </w:num>
  <w:num w:numId="9">
    <w:abstractNumId w:val="22"/>
  </w:num>
  <w:num w:numId="10">
    <w:abstractNumId w:val="0"/>
  </w:num>
  <w:num w:numId="11">
    <w:abstractNumId w:val="5"/>
  </w:num>
  <w:num w:numId="12">
    <w:abstractNumId w:val="24"/>
  </w:num>
  <w:num w:numId="13">
    <w:abstractNumId w:val="18"/>
  </w:num>
  <w:num w:numId="14">
    <w:abstractNumId w:val="13"/>
  </w:num>
  <w:num w:numId="15">
    <w:abstractNumId w:val="23"/>
  </w:num>
  <w:num w:numId="16">
    <w:abstractNumId w:val="16"/>
  </w:num>
  <w:num w:numId="17">
    <w:abstractNumId w:val="1"/>
  </w:num>
  <w:num w:numId="18">
    <w:abstractNumId w:val="7"/>
  </w:num>
  <w:num w:numId="19">
    <w:abstractNumId w:val="21"/>
  </w:num>
  <w:num w:numId="20">
    <w:abstractNumId w:val="14"/>
  </w:num>
  <w:num w:numId="21">
    <w:abstractNumId w:val="17"/>
  </w:num>
  <w:num w:numId="22">
    <w:abstractNumId w:val="9"/>
  </w:num>
  <w:num w:numId="23">
    <w:abstractNumId w:val="20"/>
  </w:num>
  <w:num w:numId="24">
    <w:abstractNumId w:val="19"/>
  </w:num>
  <w:num w:numId="25">
    <w:abstractNumId w:val="3"/>
  </w:num>
  <w:num w:numId="26">
    <w:abstractNumId w:val="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39E"/>
    <w:rsid w:val="0000659D"/>
    <w:rsid w:val="0001132F"/>
    <w:rsid w:val="000164E5"/>
    <w:rsid w:val="0001795D"/>
    <w:rsid w:val="00036997"/>
    <w:rsid w:val="00045A1F"/>
    <w:rsid w:val="00051AC9"/>
    <w:rsid w:val="000723A6"/>
    <w:rsid w:val="000761F8"/>
    <w:rsid w:val="000801B9"/>
    <w:rsid w:val="00090188"/>
    <w:rsid w:val="000A6694"/>
    <w:rsid w:val="000A7CF4"/>
    <w:rsid w:val="000B1218"/>
    <w:rsid w:val="000B45CA"/>
    <w:rsid w:val="000C078C"/>
    <w:rsid w:val="000C5E1D"/>
    <w:rsid w:val="000D378F"/>
    <w:rsid w:val="000D4C50"/>
    <w:rsid w:val="000D70EC"/>
    <w:rsid w:val="000F07E5"/>
    <w:rsid w:val="000F29B0"/>
    <w:rsid w:val="00106127"/>
    <w:rsid w:val="00114EF5"/>
    <w:rsid w:val="00117F5D"/>
    <w:rsid w:val="00127211"/>
    <w:rsid w:val="0014002E"/>
    <w:rsid w:val="00143822"/>
    <w:rsid w:val="0016290C"/>
    <w:rsid w:val="00171108"/>
    <w:rsid w:val="0018162E"/>
    <w:rsid w:val="00183E60"/>
    <w:rsid w:val="001938A9"/>
    <w:rsid w:val="00193BE2"/>
    <w:rsid w:val="001A0183"/>
    <w:rsid w:val="001A5AEB"/>
    <w:rsid w:val="001B412E"/>
    <w:rsid w:val="001B73F6"/>
    <w:rsid w:val="001C17B2"/>
    <w:rsid w:val="001E3E22"/>
    <w:rsid w:val="001F2CBD"/>
    <w:rsid w:val="001F3423"/>
    <w:rsid w:val="001F7B48"/>
    <w:rsid w:val="001F7E77"/>
    <w:rsid w:val="00200211"/>
    <w:rsid w:val="00227BB0"/>
    <w:rsid w:val="0023067C"/>
    <w:rsid w:val="00237524"/>
    <w:rsid w:val="00246949"/>
    <w:rsid w:val="0025062A"/>
    <w:rsid w:val="00251BD2"/>
    <w:rsid w:val="00264627"/>
    <w:rsid w:val="002704E6"/>
    <w:rsid w:val="0027205B"/>
    <w:rsid w:val="00273A7A"/>
    <w:rsid w:val="00291F9B"/>
    <w:rsid w:val="002938C6"/>
    <w:rsid w:val="002A62AD"/>
    <w:rsid w:val="002A772D"/>
    <w:rsid w:val="002B476B"/>
    <w:rsid w:val="002C5FE9"/>
    <w:rsid w:val="002F73A7"/>
    <w:rsid w:val="00305673"/>
    <w:rsid w:val="0031692E"/>
    <w:rsid w:val="00320A1D"/>
    <w:rsid w:val="003464D1"/>
    <w:rsid w:val="00356A7C"/>
    <w:rsid w:val="00366082"/>
    <w:rsid w:val="00397680"/>
    <w:rsid w:val="003B4794"/>
    <w:rsid w:val="003B764B"/>
    <w:rsid w:val="003D017B"/>
    <w:rsid w:val="003D1A38"/>
    <w:rsid w:val="003D262A"/>
    <w:rsid w:val="003D2C97"/>
    <w:rsid w:val="003D2DB0"/>
    <w:rsid w:val="003D386F"/>
    <w:rsid w:val="003E6220"/>
    <w:rsid w:val="00410D5A"/>
    <w:rsid w:val="00411AE2"/>
    <w:rsid w:val="00422441"/>
    <w:rsid w:val="004430C2"/>
    <w:rsid w:val="00473193"/>
    <w:rsid w:val="00477901"/>
    <w:rsid w:val="00486F43"/>
    <w:rsid w:val="00487E55"/>
    <w:rsid w:val="00491AD8"/>
    <w:rsid w:val="004953BD"/>
    <w:rsid w:val="004A0E5B"/>
    <w:rsid w:val="004A4B25"/>
    <w:rsid w:val="004C2DCA"/>
    <w:rsid w:val="004C4817"/>
    <w:rsid w:val="004C6875"/>
    <w:rsid w:val="004D7F7B"/>
    <w:rsid w:val="00501D5A"/>
    <w:rsid w:val="0054301F"/>
    <w:rsid w:val="005463E6"/>
    <w:rsid w:val="00554495"/>
    <w:rsid w:val="00574D38"/>
    <w:rsid w:val="00592D4F"/>
    <w:rsid w:val="00593F50"/>
    <w:rsid w:val="005B4297"/>
    <w:rsid w:val="005C7502"/>
    <w:rsid w:val="005D0332"/>
    <w:rsid w:val="005E1578"/>
    <w:rsid w:val="005F1F4C"/>
    <w:rsid w:val="0061178A"/>
    <w:rsid w:val="00617AB0"/>
    <w:rsid w:val="00627605"/>
    <w:rsid w:val="00635052"/>
    <w:rsid w:val="006351A4"/>
    <w:rsid w:val="006502A1"/>
    <w:rsid w:val="00662CCC"/>
    <w:rsid w:val="006631DB"/>
    <w:rsid w:val="00676632"/>
    <w:rsid w:val="0068374F"/>
    <w:rsid w:val="0069026C"/>
    <w:rsid w:val="006A25BA"/>
    <w:rsid w:val="006B25C1"/>
    <w:rsid w:val="006C384C"/>
    <w:rsid w:val="006C6B4E"/>
    <w:rsid w:val="006F5546"/>
    <w:rsid w:val="00701FC7"/>
    <w:rsid w:val="00723437"/>
    <w:rsid w:val="007256B5"/>
    <w:rsid w:val="00731A20"/>
    <w:rsid w:val="00751C13"/>
    <w:rsid w:val="0076097F"/>
    <w:rsid w:val="00762D62"/>
    <w:rsid w:val="00776129"/>
    <w:rsid w:val="00796E39"/>
    <w:rsid w:val="007A4B07"/>
    <w:rsid w:val="007B3B85"/>
    <w:rsid w:val="007C7D23"/>
    <w:rsid w:val="007D1528"/>
    <w:rsid w:val="007D35B1"/>
    <w:rsid w:val="007E3E11"/>
    <w:rsid w:val="007E4A2D"/>
    <w:rsid w:val="007E5212"/>
    <w:rsid w:val="00807C40"/>
    <w:rsid w:val="008367BD"/>
    <w:rsid w:val="008373BA"/>
    <w:rsid w:val="00847A08"/>
    <w:rsid w:val="00847CEC"/>
    <w:rsid w:val="0085373B"/>
    <w:rsid w:val="008548B1"/>
    <w:rsid w:val="008714D7"/>
    <w:rsid w:val="00873A86"/>
    <w:rsid w:val="00874AB4"/>
    <w:rsid w:val="00890C4F"/>
    <w:rsid w:val="00893E63"/>
    <w:rsid w:val="008A6542"/>
    <w:rsid w:val="008B703C"/>
    <w:rsid w:val="008D197D"/>
    <w:rsid w:val="008D342C"/>
    <w:rsid w:val="008D66DC"/>
    <w:rsid w:val="008E5C29"/>
    <w:rsid w:val="008F307B"/>
    <w:rsid w:val="008F53C8"/>
    <w:rsid w:val="0090234A"/>
    <w:rsid w:val="0090283E"/>
    <w:rsid w:val="00906928"/>
    <w:rsid w:val="009172E6"/>
    <w:rsid w:val="009229D4"/>
    <w:rsid w:val="00924662"/>
    <w:rsid w:val="00925666"/>
    <w:rsid w:val="00925E0D"/>
    <w:rsid w:val="009508A8"/>
    <w:rsid w:val="0095545A"/>
    <w:rsid w:val="009621DB"/>
    <w:rsid w:val="00971083"/>
    <w:rsid w:val="0098061E"/>
    <w:rsid w:val="009A1A98"/>
    <w:rsid w:val="009B7175"/>
    <w:rsid w:val="009C6BFF"/>
    <w:rsid w:val="009E0706"/>
    <w:rsid w:val="00A10888"/>
    <w:rsid w:val="00A12104"/>
    <w:rsid w:val="00A154B9"/>
    <w:rsid w:val="00A42184"/>
    <w:rsid w:val="00A54228"/>
    <w:rsid w:val="00A66D29"/>
    <w:rsid w:val="00A7687F"/>
    <w:rsid w:val="00A828DB"/>
    <w:rsid w:val="00A87EC7"/>
    <w:rsid w:val="00AA786A"/>
    <w:rsid w:val="00AC2400"/>
    <w:rsid w:val="00AC2ED3"/>
    <w:rsid w:val="00AD6582"/>
    <w:rsid w:val="00AE2E9A"/>
    <w:rsid w:val="00AE7F3B"/>
    <w:rsid w:val="00AF715C"/>
    <w:rsid w:val="00B00470"/>
    <w:rsid w:val="00B1106F"/>
    <w:rsid w:val="00B30395"/>
    <w:rsid w:val="00B30CBC"/>
    <w:rsid w:val="00B57E95"/>
    <w:rsid w:val="00B606EF"/>
    <w:rsid w:val="00B65546"/>
    <w:rsid w:val="00B667FC"/>
    <w:rsid w:val="00B7264F"/>
    <w:rsid w:val="00BB7ACC"/>
    <w:rsid w:val="00BD1DFE"/>
    <w:rsid w:val="00BD4EB0"/>
    <w:rsid w:val="00BE1CFC"/>
    <w:rsid w:val="00BE6170"/>
    <w:rsid w:val="00C22563"/>
    <w:rsid w:val="00C273A7"/>
    <w:rsid w:val="00C45333"/>
    <w:rsid w:val="00C5423F"/>
    <w:rsid w:val="00C57274"/>
    <w:rsid w:val="00C668AE"/>
    <w:rsid w:val="00C6781B"/>
    <w:rsid w:val="00C768DE"/>
    <w:rsid w:val="00C86E5F"/>
    <w:rsid w:val="00C91137"/>
    <w:rsid w:val="00C9539E"/>
    <w:rsid w:val="00CD157C"/>
    <w:rsid w:val="00CD428D"/>
    <w:rsid w:val="00CF3495"/>
    <w:rsid w:val="00D0356A"/>
    <w:rsid w:val="00D047F8"/>
    <w:rsid w:val="00D661E4"/>
    <w:rsid w:val="00D74995"/>
    <w:rsid w:val="00D74BE9"/>
    <w:rsid w:val="00D833EC"/>
    <w:rsid w:val="00D932ED"/>
    <w:rsid w:val="00D9541D"/>
    <w:rsid w:val="00D969C0"/>
    <w:rsid w:val="00DA21C6"/>
    <w:rsid w:val="00DB0690"/>
    <w:rsid w:val="00DB62CD"/>
    <w:rsid w:val="00DC6AAB"/>
    <w:rsid w:val="00DD11EE"/>
    <w:rsid w:val="00DD7D44"/>
    <w:rsid w:val="00DF5493"/>
    <w:rsid w:val="00E044F2"/>
    <w:rsid w:val="00E14667"/>
    <w:rsid w:val="00E32B25"/>
    <w:rsid w:val="00E82E49"/>
    <w:rsid w:val="00E85F38"/>
    <w:rsid w:val="00E941C3"/>
    <w:rsid w:val="00EA230F"/>
    <w:rsid w:val="00EA453E"/>
    <w:rsid w:val="00EC0F74"/>
    <w:rsid w:val="00EC52FF"/>
    <w:rsid w:val="00ED3159"/>
    <w:rsid w:val="00EE1AA9"/>
    <w:rsid w:val="00F0345B"/>
    <w:rsid w:val="00F1237A"/>
    <w:rsid w:val="00F4403C"/>
    <w:rsid w:val="00F44812"/>
    <w:rsid w:val="00F5229F"/>
    <w:rsid w:val="00F53FB9"/>
    <w:rsid w:val="00F55005"/>
    <w:rsid w:val="00F62526"/>
    <w:rsid w:val="00F724BC"/>
    <w:rsid w:val="00F73A53"/>
    <w:rsid w:val="00F8448E"/>
    <w:rsid w:val="00F96764"/>
    <w:rsid w:val="00FB5B1B"/>
    <w:rsid w:val="00FC6E11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9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A7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Heading1"/>
    <w:link w:val="Heading2Char"/>
    <w:uiPriority w:val="99"/>
    <w:qFormat/>
    <w:rsid w:val="00FB5B1B"/>
    <w:pPr>
      <w:keepNext/>
      <w:keepLines/>
      <w:numPr>
        <w:numId w:val="8"/>
      </w:num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3A7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B5B1B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EC0F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75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7502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85F38"/>
    <w:pPr>
      <w:spacing w:after="100"/>
    </w:pPr>
  </w:style>
  <w:style w:type="character" w:styleId="Hyperlink">
    <w:name w:val="Hyperlink"/>
    <w:basedOn w:val="DefaultParagraphFont"/>
    <w:uiPriority w:val="99"/>
    <w:rsid w:val="00E85F3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817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99"/>
    <w:rsid w:val="003D2C97"/>
    <w:pPr>
      <w:spacing w:after="100"/>
      <w:ind w:left="220"/>
    </w:pPr>
  </w:style>
  <w:style w:type="paragraph" w:customStyle="1" w:styleId="Default">
    <w:name w:val="Default"/>
    <w:uiPriority w:val="99"/>
    <w:rsid w:val="001F34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Formatvorlage3">
    <w:name w:val="Formatvorlage3"/>
    <w:basedOn w:val="Normal"/>
    <w:uiPriority w:val="99"/>
    <w:rsid w:val="002938C6"/>
    <w:pPr>
      <w:numPr>
        <w:ilvl w:val="1"/>
        <w:numId w:val="11"/>
      </w:numPr>
      <w:tabs>
        <w:tab w:val="left" w:pos="1134"/>
      </w:tabs>
      <w:spacing w:after="60" w:line="240" w:lineRule="auto"/>
      <w:ind w:right="567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apple-converted-space">
    <w:name w:val="apple-converted-space"/>
    <w:basedOn w:val="DefaultParagraphFont"/>
    <w:uiPriority w:val="99"/>
    <w:rsid w:val="009256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5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5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7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7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7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57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72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572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57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57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572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572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572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572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0572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7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7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7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7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7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57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7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57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57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57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57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57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572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572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0572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2460</TotalTime>
  <Pages>10</Pages>
  <Words>2649</Words>
  <Characters>15103</Characters>
  <Application>Microsoft Office Outlook</Application>
  <DocSecurity>0</DocSecurity>
  <Lines>0</Lines>
  <Paragraphs>0</Paragraphs>
  <ScaleCrop>false</ScaleCrop>
  <Company>SSE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Milan Valjasek</dc:creator>
  <cp:keywords/>
  <dc:description/>
  <cp:lastModifiedBy>administrator</cp:lastModifiedBy>
  <cp:revision>123</cp:revision>
  <cp:lastPrinted>2014-04-01T07:13:00Z</cp:lastPrinted>
  <dcterms:created xsi:type="dcterms:W3CDTF">2014-04-03T08:06:00Z</dcterms:created>
  <dcterms:modified xsi:type="dcterms:W3CDTF">2014-10-25T06:57:00Z</dcterms:modified>
</cp:coreProperties>
</file>